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E3073" w:rsidR="00F75106" w:rsidRDefault="00FE3499">
      <w:pPr>
        <w:pStyle w:val="in-table"/>
      </w:pPr>
      <w:bookmarkStart w:name="_GoBack" w:id="0"/>
      <w:bookmarkEnd w:id="0"/>
      <w:r w:rsidRPr="003E3073">
        <w:rPr>
          <w:noProof/>
        </w:rPr>
        <mc:AlternateContent>
          <mc:Choice Requires="wps">
            <w:drawing>
              <wp:anchor distT="0" distB="0" distL="114300" distR="114300" simplePos="0" relativeHeight="251659776" behindDoc="0" locked="0" layoutInCell="1" allowOverlap="1" wp14:editId="23298573" wp14:anchorId="42D5E7C7">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714A5D" w:rsidRDefault="00714A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2D5E7C7">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714A5D" w:rsidRDefault="00714A5D"/>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3E3073" w:rsidR="00F75106">
        <w:tc>
          <w:tcPr>
            <w:tcW w:w="0" w:type="auto"/>
          </w:tcPr>
          <w:p w:rsidRPr="003E3073" w:rsidR="00714A5D" w:rsidRDefault="00714A5D">
            <w:bookmarkStart w:name="woordmerk" w:id="1"/>
            <w:bookmarkStart w:name="woordmerk_bk" w:id="2"/>
            <w:bookmarkEnd w:id="1"/>
            <w:r w:rsidRPr="003E3073">
              <w:rPr>
                <w:noProof/>
              </w:rPr>
              <w:drawing>
                <wp:inline distT="0" distB="0" distL="0" distR="0" wp14:anchorId="0AF1638C" wp14:editId="6984B25F">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3E3073" w:rsidR="00F75106" w:rsidRDefault="008A7B34">
            <w:r w:rsidRPr="003E3073">
              <w:fldChar w:fldCharType="begin"/>
            </w:r>
            <w:r w:rsidRPr="003E3073" w:rsidR="00F75106">
              <w:instrText xml:space="preserve"> DOCPROPERTY woordmerk </w:instrText>
            </w:r>
            <w:r w:rsidRPr="003E3073">
              <w:fldChar w:fldCharType="end"/>
            </w:r>
          </w:p>
        </w:tc>
      </w:tr>
    </w:tbl>
    <w:p w:rsidRPr="003E3073"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3E3073" w:rsidR="00F75106">
        <w:trPr>
          <w:trHeight w:val="306" w:hRule="exact"/>
        </w:trPr>
        <w:tc>
          <w:tcPr>
            <w:tcW w:w="7512" w:type="dxa"/>
            <w:gridSpan w:val="2"/>
          </w:tcPr>
          <w:p w:rsidRPr="003E3073" w:rsidR="00F75106" w:rsidRDefault="008A7B34">
            <w:pPr>
              <w:pStyle w:val="Huisstijl-Retouradres"/>
            </w:pPr>
            <w:r w:rsidRPr="003E3073">
              <w:fldChar w:fldCharType="begin"/>
            </w:r>
            <w:r w:rsidRPr="003E3073" w:rsidR="000129A4">
              <w:instrText xml:space="preserve"> DOCPROPERTY retouradres </w:instrText>
            </w:r>
            <w:r w:rsidRPr="003E3073">
              <w:fldChar w:fldCharType="separate"/>
            </w:r>
            <w:r w:rsidRPr="003E3073" w:rsidR="00714A5D">
              <w:t>&gt; Retouradres Postbus 20301 2500 EH</w:t>
            </w:r>
            <w:r w:rsidRPr="003E3073" w:rsidR="0062646F">
              <w:t xml:space="preserve"> </w:t>
            </w:r>
            <w:r w:rsidRPr="003E3073" w:rsidR="00714A5D">
              <w:t>Den Haag</w:t>
            </w:r>
            <w:r w:rsidRPr="003E3073">
              <w:fldChar w:fldCharType="end"/>
            </w:r>
          </w:p>
        </w:tc>
      </w:tr>
      <w:tr w:rsidRPr="003E3073" w:rsidR="00F75106">
        <w:trPr>
          <w:cantSplit/>
          <w:trHeight w:val="85" w:hRule="exact"/>
        </w:trPr>
        <w:tc>
          <w:tcPr>
            <w:tcW w:w="7512" w:type="dxa"/>
            <w:gridSpan w:val="2"/>
          </w:tcPr>
          <w:p w:rsidRPr="003E3073" w:rsidR="00F75106" w:rsidRDefault="00F75106">
            <w:pPr>
              <w:pStyle w:val="Huisstijl-Rubricering"/>
            </w:pPr>
          </w:p>
        </w:tc>
      </w:tr>
      <w:tr w:rsidRPr="003E3073" w:rsidR="00F75106">
        <w:trPr>
          <w:cantSplit/>
          <w:trHeight w:val="187" w:hRule="exact"/>
        </w:trPr>
        <w:tc>
          <w:tcPr>
            <w:tcW w:w="7512" w:type="dxa"/>
            <w:gridSpan w:val="2"/>
          </w:tcPr>
          <w:p w:rsidRPr="003E3073" w:rsidR="00F75106" w:rsidRDefault="008A7B34">
            <w:pPr>
              <w:pStyle w:val="Huisstijl-Rubricering"/>
            </w:pPr>
            <w:r w:rsidRPr="003E3073">
              <w:fldChar w:fldCharType="begin"/>
            </w:r>
            <w:r w:rsidRPr="003E3073" w:rsidR="000129A4">
              <w:instrText xml:space="preserve"> DOCPROPERTY rubricering </w:instrText>
            </w:r>
            <w:r w:rsidRPr="003E3073">
              <w:fldChar w:fldCharType="end"/>
            </w:r>
          </w:p>
        </w:tc>
      </w:tr>
      <w:tr w:rsidRPr="003E3073" w:rsidR="00F75106">
        <w:trPr>
          <w:cantSplit/>
          <w:trHeight w:val="2166" w:hRule="exact"/>
        </w:trPr>
        <w:tc>
          <w:tcPr>
            <w:tcW w:w="7512" w:type="dxa"/>
            <w:gridSpan w:val="2"/>
          </w:tcPr>
          <w:p w:rsidRPr="003E3073" w:rsidR="00714A5D" w:rsidRDefault="008A7B34">
            <w:pPr>
              <w:pStyle w:val="adres"/>
            </w:pPr>
            <w:r w:rsidRPr="003E3073">
              <w:fldChar w:fldCharType="begin"/>
            </w:r>
            <w:r w:rsidRPr="003E3073" w:rsidR="000129A4">
              <w:instrText xml:space="preserve"> DOCVARIABLE adres *\MERGEFORMAT </w:instrText>
            </w:r>
            <w:r w:rsidRPr="003E3073">
              <w:fldChar w:fldCharType="separate"/>
            </w:r>
            <w:r w:rsidR="00A762C8">
              <w:t>Aan de</w:t>
            </w:r>
            <w:r w:rsidRPr="003E3073" w:rsidR="00714A5D">
              <w:t xml:space="preserve"> Voorzitter van de Tweede Kamer</w:t>
            </w:r>
          </w:p>
          <w:p w:rsidRPr="003E3073" w:rsidR="00714A5D" w:rsidRDefault="00714A5D">
            <w:pPr>
              <w:pStyle w:val="adres"/>
            </w:pPr>
            <w:r w:rsidRPr="003E3073">
              <w:t>der Staten-Generaal</w:t>
            </w:r>
          </w:p>
          <w:p w:rsidRPr="003E3073" w:rsidR="00714A5D" w:rsidRDefault="00714A5D">
            <w:pPr>
              <w:pStyle w:val="adres"/>
            </w:pPr>
            <w:r w:rsidRPr="003E3073">
              <w:t>Postbus 20018 </w:t>
            </w:r>
          </w:p>
          <w:p w:rsidRPr="003E3073" w:rsidR="00F75106" w:rsidRDefault="00714A5D">
            <w:pPr>
              <w:pStyle w:val="adres"/>
            </w:pPr>
            <w:r w:rsidRPr="003E3073">
              <w:t>2500 EA  DEN HAAG</w:t>
            </w:r>
            <w:r w:rsidRPr="003E3073" w:rsidR="008A7B34">
              <w:fldChar w:fldCharType="end"/>
            </w:r>
          </w:p>
          <w:p w:rsidRPr="003E3073" w:rsidR="00F75106" w:rsidRDefault="008A7B34">
            <w:pPr>
              <w:pStyle w:val="kixcode"/>
            </w:pPr>
            <w:r w:rsidRPr="003E3073">
              <w:fldChar w:fldCharType="begin"/>
            </w:r>
            <w:r w:rsidRPr="003E3073" w:rsidR="000129A4">
              <w:instrText xml:space="preserve"> DOCPROPERTY kix </w:instrText>
            </w:r>
            <w:r w:rsidRPr="003E3073">
              <w:fldChar w:fldCharType="end"/>
            </w:r>
          </w:p>
          <w:p w:rsidRPr="003E3073" w:rsidR="00F75106" w:rsidRDefault="00F75106">
            <w:pPr>
              <w:pStyle w:val="kixcode"/>
            </w:pPr>
          </w:p>
        </w:tc>
      </w:tr>
      <w:tr w:rsidRPr="003E3073" w:rsidR="00F75106">
        <w:trPr>
          <w:trHeight w:val="465" w:hRule="exact"/>
        </w:trPr>
        <w:tc>
          <w:tcPr>
            <w:tcW w:w="7512" w:type="dxa"/>
            <w:gridSpan w:val="2"/>
          </w:tcPr>
          <w:p w:rsidRPr="003E3073" w:rsidR="00F75106" w:rsidRDefault="00F75106">
            <w:pPr>
              <w:pStyle w:val="broodtekst"/>
            </w:pPr>
          </w:p>
        </w:tc>
      </w:tr>
      <w:tr w:rsidRPr="003E3073" w:rsidR="00F75106">
        <w:trPr>
          <w:trHeight w:val="238" w:hRule="exact"/>
        </w:trPr>
        <w:tc>
          <w:tcPr>
            <w:tcW w:w="1099" w:type="dxa"/>
          </w:tcPr>
          <w:p w:rsidRPr="003E3073" w:rsidR="00F75106" w:rsidRDefault="008A7B34">
            <w:pPr>
              <w:pStyle w:val="datumonderwerp"/>
              <w:tabs>
                <w:tab w:val="clear" w:pos="794"/>
                <w:tab w:val="left" w:pos="1092"/>
              </w:tabs>
              <w:ind w:left="1140" w:hanging="1140"/>
              <w:rPr>
                <w:noProof/>
              </w:rPr>
            </w:pPr>
            <w:r w:rsidRPr="003E3073">
              <w:rPr>
                <w:noProof/>
              </w:rPr>
              <w:fldChar w:fldCharType="begin"/>
            </w:r>
            <w:r w:rsidRPr="003E3073" w:rsidR="00D2034F">
              <w:rPr>
                <w:noProof/>
              </w:rPr>
              <w:instrText xml:space="preserve"> DOCPROPERTY _datum </w:instrText>
            </w:r>
            <w:r w:rsidRPr="003E3073">
              <w:rPr>
                <w:noProof/>
              </w:rPr>
              <w:fldChar w:fldCharType="separate"/>
            </w:r>
            <w:r w:rsidRPr="003E3073" w:rsidR="00714A5D">
              <w:rPr>
                <w:noProof/>
              </w:rPr>
              <w:t>Datum</w:t>
            </w:r>
            <w:r w:rsidRPr="003E3073">
              <w:rPr>
                <w:noProof/>
              </w:rPr>
              <w:fldChar w:fldCharType="end"/>
            </w:r>
          </w:p>
        </w:tc>
        <w:tc>
          <w:tcPr>
            <w:tcW w:w="6413" w:type="dxa"/>
          </w:tcPr>
          <w:p w:rsidRPr="003E3073" w:rsidR="00F75106" w:rsidP="00714A5D" w:rsidRDefault="008A7B34">
            <w:pPr>
              <w:pStyle w:val="datumonderwerp"/>
              <w:tabs>
                <w:tab w:val="clear" w:pos="794"/>
                <w:tab w:val="left" w:pos="1092"/>
              </w:tabs>
              <w:ind w:left="1140" w:hanging="1140"/>
            </w:pPr>
            <w:r w:rsidRPr="003E3073">
              <w:fldChar w:fldCharType="begin"/>
            </w:r>
            <w:r w:rsidRPr="003E3073" w:rsidR="000129A4">
              <w:instrText xml:space="preserve"> DOCPROPERTY datum </w:instrText>
            </w:r>
            <w:r w:rsidRPr="003E3073">
              <w:fldChar w:fldCharType="separate"/>
            </w:r>
            <w:r w:rsidR="003E3073">
              <w:t>22</w:t>
            </w:r>
            <w:r w:rsidRPr="003E3073" w:rsidR="00B20F7F">
              <w:t xml:space="preserve"> juni </w:t>
            </w:r>
            <w:r w:rsidRPr="003E3073" w:rsidR="00714A5D">
              <w:t>2022</w:t>
            </w:r>
            <w:r w:rsidRPr="003E3073">
              <w:fldChar w:fldCharType="end"/>
            </w:r>
          </w:p>
        </w:tc>
      </w:tr>
      <w:tr w:rsidRPr="003E3073" w:rsidR="00F75106">
        <w:trPr>
          <w:trHeight w:val="482" w:hRule="exact"/>
        </w:trPr>
        <w:tc>
          <w:tcPr>
            <w:tcW w:w="1099" w:type="dxa"/>
          </w:tcPr>
          <w:p w:rsidRPr="003E3073" w:rsidR="00F75106" w:rsidRDefault="008A7B34">
            <w:pPr>
              <w:pStyle w:val="datumonderwerp"/>
              <w:ind w:left="743" w:hanging="743"/>
              <w:rPr>
                <w:noProof/>
              </w:rPr>
            </w:pPr>
            <w:r w:rsidRPr="003E3073">
              <w:rPr>
                <w:noProof/>
              </w:rPr>
              <w:fldChar w:fldCharType="begin"/>
            </w:r>
            <w:r w:rsidRPr="003E3073" w:rsidR="00D2034F">
              <w:rPr>
                <w:noProof/>
              </w:rPr>
              <w:instrText xml:space="preserve"> DOCPROPERTY _onderwerp </w:instrText>
            </w:r>
            <w:r w:rsidRPr="003E3073">
              <w:rPr>
                <w:noProof/>
              </w:rPr>
              <w:fldChar w:fldCharType="separate"/>
            </w:r>
            <w:r w:rsidRPr="003E3073" w:rsidR="00714A5D">
              <w:rPr>
                <w:noProof/>
              </w:rPr>
              <w:t>Onderwerp</w:t>
            </w:r>
            <w:r w:rsidRPr="003E3073">
              <w:rPr>
                <w:noProof/>
              </w:rPr>
              <w:fldChar w:fldCharType="end"/>
            </w:r>
          </w:p>
        </w:tc>
        <w:tc>
          <w:tcPr>
            <w:tcW w:w="6413" w:type="dxa"/>
          </w:tcPr>
          <w:p w:rsidRPr="003E3073" w:rsidR="00F75106" w:rsidP="00B8032B" w:rsidRDefault="0094150E">
            <w:pPr>
              <w:pStyle w:val="datumonderwerp"/>
            </w:pPr>
            <w:r w:rsidRPr="003E3073">
              <w:t xml:space="preserve">Schenk- en erfbelasting en </w:t>
            </w:r>
            <w:r w:rsidRPr="003E3073" w:rsidR="008A7B34">
              <w:fldChar w:fldCharType="begin"/>
            </w:r>
            <w:r w:rsidRPr="003E3073" w:rsidR="000129A4">
              <w:instrText xml:space="preserve"> DOCPROPERTY onderwerp </w:instrText>
            </w:r>
            <w:r w:rsidRPr="003E3073" w:rsidR="008A7B34">
              <w:fldChar w:fldCharType="separate"/>
            </w:r>
            <w:r w:rsidRPr="003E3073" w:rsidR="00B8032B">
              <w:t>d</w:t>
            </w:r>
            <w:r w:rsidRPr="003E3073" w:rsidR="00714A5D">
              <w:t>e legitieme portie in het erfrecht</w:t>
            </w:r>
            <w:r w:rsidRPr="003E3073" w:rsidR="008A7B34">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3E3073" w:rsidR="00F75106">
        <w:tc>
          <w:tcPr>
            <w:tcW w:w="2013" w:type="dxa"/>
          </w:tcPr>
          <w:p w:rsidRPr="003E3073" w:rsidR="00714A5D" w:rsidP="00714A5D" w:rsidRDefault="00714A5D">
            <w:pPr>
              <w:pStyle w:val="afzendgegevens-bold"/>
            </w:pPr>
            <w:bookmarkStart w:name="referentiegegevens" w:id="3"/>
            <w:bookmarkStart w:name="referentiegegevens_bk" w:id="4"/>
            <w:bookmarkEnd w:id="3"/>
            <w:r w:rsidRPr="003E3073">
              <w:t>Directie Wetgeving en Juridische Zaken</w:t>
            </w:r>
          </w:p>
          <w:p w:rsidRPr="003E3073" w:rsidR="00714A5D" w:rsidP="00714A5D" w:rsidRDefault="00714A5D">
            <w:pPr>
              <w:pStyle w:val="witregel1"/>
            </w:pPr>
            <w:r w:rsidRPr="003E3073">
              <w:t> </w:t>
            </w:r>
          </w:p>
          <w:p w:rsidRPr="003E3073" w:rsidR="00714A5D" w:rsidP="00714A5D" w:rsidRDefault="00714A5D">
            <w:pPr>
              <w:pStyle w:val="afzendgegevens"/>
            </w:pPr>
            <w:r w:rsidRPr="003E3073">
              <w:t>Turfmarkt 147</w:t>
            </w:r>
          </w:p>
          <w:p w:rsidRPr="003E3073" w:rsidR="00714A5D" w:rsidP="00714A5D" w:rsidRDefault="00714A5D">
            <w:pPr>
              <w:pStyle w:val="afzendgegevens"/>
              <w:rPr>
                <w:lang w:val="de-DE"/>
              </w:rPr>
            </w:pPr>
            <w:r w:rsidRPr="003E3073">
              <w:rPr>
                <w:lang w:val="de-DE"/>
              </w:rPr>
              <w:t>2511 DP  Den Haag</w:t>
            </w:r>
          </w:p>
          <w:p w:rsidRPr="003E3073" w:rsidR="00714A5D" w:rsidP="00714A5D" w:rsidRDefault="00714A5D">
            <w:pPr>
              <w:pStyle w:val="afzendgegevens"/>
              <w:rPr>
                <w:lang w:val="de-DE"/>
              </w:rPr>
            </w:pPr>
            <w:r w:rsidRPr="003E3073">
              <w:rPr>
                <w:lang w:val="de-DE"/>
              </w:rPr>
              <w:t>Postbus 20301</w:t>
            </w:r>
          </w:p>
          <w:p w:rsidRPr="003E3073" w:rsidR="00714A5D" w:rsidP="00714A5D" w:rsidRDefault="00714A5D">
            <w:pPr>
              <w:pStyle w:val="afzendgegevens"/>
              <w:rPr>
                <w:lang w:val="de-DE"/>
              </w:rPr>
            </w:pPr>
            <w:r w:rsidRPr="003E3073">
              <w:rPr>
                <w:lang w:val="de-DE"/>
              </w:rPr>
              <w:t>2500 EH  Den Haag</w:t>
            </w:r>
          </w:p>
          <w:p w:rsidRPr="003E3073" w:rsidR="00714A5D" w:rsidP="00714A5D" w:rsidRDefault="00714A5D">
            <w:pPr>
              <w:pStyle w:val="afzendgegevens"/>
              <w:rPr>
                <w:lang w:val="de-DE"/>
              </w:rPr>
            </w:pPr>
            <w:r w:rsidRPr="003E3073">
              <w:rPr>
                <w:lang w:val="de-DE"/>
              </w:rPr>
              <w:t>www.rijksoverheid.nl/jenv</w:t>
            </w:r>
          </w:p>
          <w:p w:rsidR="00A762C8" w:rsidP="00714A5D" w:rsidRDefault="00A762C8">
            <w:pPr>
              <w:pStyle w:val="witregel2"/>
            </w:pPr>
          </w:p>
          <w:p w:rsidR="00A762C8" w:rsidP="00714A5D" w:rsidRDefault="00A762C8">
            <w:pPr>
              <w:pStyle w:val="witregel2"/>
            </w:pPr>
          </w:p>
          <w:p w:rsidRPr="003E3073" w:rsidR="00714A5D" w:rsidP="00714A5D" w:rsidRDefault="00714A5D">
            <w:pPr>
              <w:pStyle w:val="witregel2"/>
            </w:pPr>
            <w:r w:rsidRPr="003E3073">
              <w:t> </w:t>
            </w:r>
          </w:p>
          <w:p w:rsidRPr="003E3073" w:rsidR="00714A5D" w:rsidP="00714A5D" w:rsidRDefault="00714A5D">
            <w:pPr>
              <w:pStyle w:val="referentiekopjes"/>
            </w:pPr>
            <w:r w:rsidRPr="003E3073">
              <w:t>Ons kenmerk</w:t>
            </w:r>
          </w:p>
          <w:p w:rsidRPr="003E3073" w:rsidR="00714A5D" w:rsidP="00714A5D" w:rsidRDefault="001C2234">
            <w:pPr>
              <w:pStyle w:val="referentiegegevens"/>
            </w:pPr>
            <w:r w:rsidRPr="003E3073">
              <w:t>4048257</w:t>
            </w:r>
          </w:p>
          <w:p w:rsidRPr="003E3073" w:rsidR="00714A5D" w:rsidP="00714A5D" w:rsidRDefault="00714A5D">
            <w:pPr>
              <w:pStyle w:val="witregel1"/>
            </w:pPr>
            <w:r w:rsidRPr="003E3073">
              <w:t> </w:t>
            </w:r>
          </w:p>
          <w:p w:rsidRPr="003E3073" w:rsidR="00714A5D" w:rsidP="00714A5D" w:rsidRDefault="00714A5D">
            <w:pPr>
              <w:pStyle w:val="clausule"/>
            </w:pPr>
            <w:r w:rsidRPr="003E3073">
              <w:t>Bij beantwoording de datum en ons kenmerk vermelden. Wilt u slechts één zaak in uw brief behandelen.</w:t>
            </w:r>
          </w:p>
          <w:p w:rsidRPr="003E3073" w:rsidR="00714A5D" w:rsidP="00714A5D" w:rsidRDefault="00714A5D">
            <w:pPr>
              <w:pStyle w:val="referentiegegevens"/>
            </w:pPr>
          </w:p>
          <w:bookmarkEnd w:id="4"/>
          <w:p w:rsidRPr="003E3073" w:rsidR="00714A5D" w:rsidP="00714A5D" w:rsidRDefault="00714A5D">
            <w:pPr>
              <w:pStyle w:val="referentiegegevens"/>
            </w:pPr>
          </w:p>
          <w:p w:rsidRPr="003E3073" w:rsidR="00F75106" w:rsidRDefault="008A7B34">
            <w:pPr>
              <w:pStyle w:val="referentiegegevens"/>
            </w:pPr>
            <w:r w:rsidRPr="003E3073">
              <w:fldChar w:fldCharType="begin"/>
            </w:r>
            <w:r w:rsidRPr="003E3073" w:rsidR="00F75106">
              <w:instrText xml:space="preserve"> DOCPROPERTY referentiegegevens </w:instrText>
            </w:r>
            <w:r w:rsidRPr="003E3073">
              <w:fldChar w:fldCharType="end"/>
            </w:r>
          </w:p>
        </w:tc>
      </w:tr>
    </w:tbl>
    <w:p w:rsidRPr="003E3073" w:rsidR="00F75106" w:rsidRDefault="00F75106">
      <w:pPr>
        <w:pStyle w:val="broodtekst"/>
        <w:sectPr w:rsidRPr="003E3073"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3E3073" w:rsidR="00C22108" w:rsidTr="00C22108">
        <w:tc>
          <w:tcPr>
            <w:tcW w:w="7716" w:type="dxa"/>
          </w:tcPr>
          <w:p w:rsidRPr="003E3073" w:rsidR="0065211D" w:rsidP="000C0AB8" w:rsidRDefault="00714A5D">
            <w:pPr>
              <w:pStyle w:val="broodtekst"/>
            </w:pPr>
            <w:r w:rsidRPr="003E3073">
              <w:t>In het Commissiedebat Personen- en familierecht op 24 maart jl. he</w:t>
            </w:r>
            <w:r w:rsidRPr="003E3073" w:rsidR="0000726D">
              <w:t xml:space="preserve">eft het lid Van Ginneken </w:t>
            </w:r>
            <w:r w:rsidRPr="003E3073" w:rsidR="00173322">
              <w:t xml:space="preserve">van uw Kamer </w:t>
            </w:r>
            <w:r w:rsidRPr="003E3073" w:rsidR="00DA27E5">
              <w:t xml:space="preserve">aandacht </w:t>
            </w:r>
            <w:r w:rsidRPr="003E3073" w:rsidR="0000726D">
              <w:t xml:space="preserve">gevraagd </w:t>
            </w:r>
            <w:r w:rsidRPr="003E3073" w:rsidR="00DA27E5">
              <w:t>voor de huidige tarief- en vrijstellingenstructuur van de schenk- en erfbelasting op grond waarvan alleenstaanden</w:t>
            </w:r>
            <w:r w:rsidRPr="003E3073" w:rsidR="005E7EF8">
              <w:t xml:space="preserve"> (in deze context mensen zonder partner en kind(eren)) </w:t>
            </w:r>
            <w:r w:rsidRPr="003E3073" w:rsidR="00DA27E5">
              <w:t xml:space="preserve">niet tegen een lager tarief </w:t>
            </w:r>
            <w:r w:rsidRPr="003E3073" w:rsidR="007940E7">
              <w:t>of</w:t>
            </w:r>
            <w:r w:rsidRPr="003E3073" w:rsidR="00DA27E5">
              <w:t xml:space="preserve"> met een hogere vrijstelling kunnen nalaten of schenken. Zij heeft mij gevraagd of i</w:t>
            </w:r>
            <w:r w:rsidRPr="003E3073">
              <w:t xml:space="preserve">k </w:t>
            </w:r>
            <w:r w:rsidRPr="003E3073" w:rsidR="00DA27E5">
              <w:t xml:space="preserve">de opvatting deel dat </w:t>
            </w:r>
            <w:r w:rsidRPr="003E3073" w:rsidR="00A201D8">
              <w:t xml:space="preserve">dit onderscheid niet gerechtvaardigd is en dat </w:t>
            </w:r>
            <w:r w:rsidRPr="003E3073" w:rsidR="00DA27E5">
              <w:t xml:space="preserve">de innigheid </w:t>
            </w:r>
            <w:r w:rsidRPr="003E3073" w:rsidR="00173322">
              <w:t xml:space="preserve">van de </w:t>
            </w:r>
            <w:r w:rsidRPr="003E3073" w:rsidR="001941E5">
              <w:t>relatie met iem</w:t>
            </w:r>
            <w:r w:rsidRPr="003E3073" w:rsidR="00173322">
              <w:t>and</w:t>
            </w:r>
            <w:r w:rsidRPr="003E3073" w:rsidR="001941E5">
              <w:t xml:space="preserve">, ook al </w:t>
            </w:r>
            <w:r w:rsidRPr="003E3073" w:rsidR="000C0AB8">
              <w:t xml:space="preserve">is </w:t>
            </w:r>
            <w:r w:rsidRPr="003E3073" w:rsidR="001941E5">
              <w:t>d</w:t>
            </w:r>
            <w:r w:rsidRPr="003E3073" w:rsidR="003A663D">
              <w:t>ie</w:t>
            </w:r>
            <w:r w:rsidRPr="003E3073" w:rsidR="001941E5">
              <w:t xml:space="preserve"> in juridische zin geen familielid,</w:t>
            </w:r>
            <w:r w:rsidRPr="003E3073" w:rsidR="00173322">
              <w:t xml:space="preserve"> </w:t>
            </w:r>
            <w:r w:rsidRPr="003E3073" w:rsidR="00DA27E5">
              <w:t>zo</w:t>
            </w:r>
            <w:r w:rsidRPr="003E3073">
              <w:t>u</w:t>
            </w:r>
            <w:r w:rsidRPr="003E3073" w:rsidR="00DA27E5">
              <w:t xml:space="preserve"> moeten door</w:t>
            </w:r>
            <w:r w:rsidRPr="003E3073">
              <w:t>w</w:t>
            </w:r>
            <w:r w:rsidRPr="003E3073" w:rsidR="00DA27E5">
              <w:t xml:space="preserve">erken in </w:t>
            </w:r>
            <w:r w:rsidRPr="003E3073" w:rsidR="00F67A86">
              <w:t>de</w:t>
            </w:r>
            <w:r w:rsidRPr="003E3073" w:rsidR="0062646F">
              <w:t xml:space="preserve"> </w:t>
            </w:r>
            <w:r w:rsidRPr="003E3073" w:rsidR="00DA27E5">
              <w:t>schenk- en erf</w:t>
            </w:r>
            <w:r w:rsidRPr="003E3073" w:rsidR="00F67A86">
              <w:t>belasting</w:t>
            </w:r>
            <w:r w:rsidRPr="003E3073" w:rsidR="00173322">
              <w:t>. Ook heeft zij gevraagd</w:t>
            </w:r>
            <w:r w:rsidRPr="003E3073" w:rsidR="00DA27E5">
              <w:t xml:space="preserve"> of ik bereid ben te onderzoeken wat ervoor nodig is om iedereen toe te staan aan een paar dierbaren voordelig te schenken of na te laten, ook als zij geen familielid zijn. Ik heb uw</w:t>
            </w:r>
            <w:r w:rsidRPr="003E3073">
              <w:t xml:space="preserve"> Kamer </w:t>
            </w:r>
            <w:r w:rsidRPr="003E3073" w:rsidR="00DA27E5">
              <w:t xml:space="preserve">toegezegd deze vraag </w:t>
            </w:r>
            <w:r w:rsidRPr="003E3073" w:rsidR="003A0FCA">
              <w:t>onder de aandacht van de Staatssecretaris Fiscaliteit en Belastin</w:t>
            </w:r>
            <w:r w:rsidRPr="003E3073" w:rsidR="0065211D">
              <w:t xml:space="preserve">gdienst te brengen en uw Kamer </w:t>
            </w:r>
            <w:r w:rsidRPr="003E3073" w:rsidR="00D376EB">
              <w:t xml:space="preserve">vervolgens </w:t>
            </w:r>
            <w:r w:rsidRPr="003E3073" w:rsidR="0065211D">
              <w:t xml:space="preserve">hierover </w:t>
            </w:r>
            <w:r w:rsidRPr="003E3073" w:rsidR="003A0FCA">
              <w:t>te informeren.</w:t>
            </w:r>
          </w:p>
          <w:p w:rsidRPr="003E3073" w:rsidR="00C22108" w:rsidP="00CF710A" w:rsidRDefault="003A0FCA">
            <w:pPr>
              <w:pStyle w:val="broodtekst"/>
            </w:pPr>
            <w:r w:rsidRPr="003E3073">
              <w:t>Daarnaast he</w:t>
            </w:r>
            <w:r w:rsidRPr="003E3073" w:rsidR="00DA27E5">
              <w:t>eft het lid Van Ginneken</w:t>
            </w:r>
            <w:r w:rsidRPr="003E3073" w:rsidR="00173322">
              <w:t xml:space="preserve"> tijdens het voornoemde debat</w:t>
            </w:r>
            <w:r w:rsidRPr="003E3073" w:rsidR="00DA27E5">
              <w:t xml:space="preserve"> mij, onder verwijzing naar het eind 2020 verschenen rapport van het Centrum voor Notarieel Recht (CNR) van de Radboud Universiteit en Netwerk Notarissen</w:t>
            </w:r>
            <w:r w:rsidRPr="003E3073" w:rsidR="0065211D">
              <w:t xml:space="preserve">, gevraagd of </w:t>
            </w:r>
            <w:r w:rsidRPr="003E3073">
              <w:t xml:space="preserve">ik </w:t>
            </w:r>
            <w:r w:rsidRPr="003E3073" w:rsidR="0065211D">
              <w:t xml:space="preserve">bereid ben om een </w:t>
            </w:r>
            <w:r w:rsidRPr="003E3073" w:rsidR="00173322">
              <w:t>wets</w:t>
            </w:r>
            <w:r w:rsidRPr="003E3073" w:rsidR="0065211D">
              <w:t xml:space="preserve">voorstel voor te bereiden tot afschaffing van de legitieme portie in het erfrecht. </w:t>
            </w:r>
            <w:r w:rsidRPr="003E3073" w:rsidR="00D92D20">
              <w:t>De legitieme portie is het deel van de erfenis waar kinderen die door hun ouder(s) worden onterfd, dwingendrechtelijk aanspraak op houden. Ik heb</w:t>
            </w:r>
            <w:r w:rsidRPr="003E3073" w:rsidR="0065211D">
              <w:t xml:space="preserve"> </w:t>
            </w:r>
            <w:r w:rsidRPr="003E3073">
              <w:t xml:space="preserve">uw Kamer toegezegd </w:t>
            </w:r>
            <w:r w:rsidRPr="003E3073" w:rsidR="0065211D">
              <w:t xml:space="preserve">de </w:t>
            </w:r>
            <w:r w:rsidRPr="003E3073" w:rsidR="00173322">
              <w:t xml:space="preserve">wenselijkheid van het afschaffen van de </w:t>
            </w:r>
            <w:r w:rsidRPr="003E3073" w:rsidR="0065211D">
              <w:t xml:space="preserve">regeling van de legitieme portie te onderzoeken en </w:t>
            </w:r>
            <w:r w:rsidRPr="003E3073" w:rsidR="0094150E">
              <w:t xml:space="preserve">mijn bevindingen </w:t>
            </w:r>
            <w:r w:rsidRPr="003E3073" w:rsidR="0065211D">
              <w:t>daarover</w:t>
            </w:r>
            <w:r w:rsidRPr="003E3073" w:rsidR="0094150E">
              <w:t xml:space="preserve"> met uw Kamer te delen. </w:t>
            </w:r>
          </w:p>
          <w:p w:rsidRPr="003E3073" w:rsidR="0094150E" w:rsidP="00CF710A" w:rsidRDefault="0094150E">
            <w:pPr>
              <w:pStyle w:val="broodtekst"/>
            </w:pPr>
          </w:p>
          <w:p w:rsidRPr="003E3073" w:rsidR="00B8032B" w:rsidP="002938B2" w:rsidRDefault="0094150E">
            <w:pPr>
              <w:pStyle w:val="broodtekst"/>
            </w:pPr>
            <w:r w:rsidRPr="003E3073">
              <w:t xml:space="preserve">In deze brief </w:t>
            </w:r>
            <w:r w:rsidRPr="003E3073" w:rsidR="00B8032B">
              <w:t>ga ik eerst</w:t>
            </w:r>
            <w:r w:rsidRPr="003E3073">
              <w:t xml:space="preserve"> namens de Staatssecretaris Fiscaliteit en Belastingdienst</w:t>
            </w:r>
            <w:r w:rsidRPr="003E3073" w:rsidR="00B8032B">
              <w:t xml:space="preserve"> in op de tarief- en vrijstellingenstructuur van de schenk- en erfbelasting</w:t>
            </w:r>
            <w:r w:rsidRPr="003E3073">
              <w:t>.</w:t>
            </w:r>
            <w:r w:rsidRPr="003E3073" w:rsidR="00B8032B">
              <w:t xml:space="preserve"> </w:t>
            </w:r>
            <w:r w:rsidRPr="003E3073" w:rsidR="00CF6944">
              <w:t xml:space="preserve">Vervolgens </w:t>
            </w:r>
            <w:r w:rsidRPr="003E3073" w:rsidR="00B8032B">
              <w:t xml:space="preserve">bespreek ik </w:t>
            </w:r>
            <w:r w:rsidRPr="003E3073" w:rsidR="00BA0E95">
              <w:t xml:space="preserve">de </w:t>
            </w:r>
            <w:r w:rsidRPr="003E3073" w:rsidR="00595820">
              <w:t xml:space="preserve">wenselijkheid van het afschaffen van de </w:t>
            </w:r>
            <w:r w:rsidRPr="003E3073" w:rsidR="00BA0E95">
              <w:t>regeling van</w:t>
            </w:r>
            <w:r w:rsidRPr="003E3073" w:rsidR="00B8032B">
              <w:t xml:space="preserve"> de legitieme portie in het erfrecht.</w:t>
            </w:r>
            <w:r w:rsidRPr="003E3073" w:rsidR="00824940">
              <w:t xml:space="preserve"> </w:t>
            </w:r>
          </w:p>
          <w:p w:rsidRPr="003E3073" w:rsidR="00824940" w:rsidP="00CF710A" w:rsidRDefault="00824940">
            <w:pPr>
              <w:pStyle w:val="broodtekst"/>
            </w:pPr>
          </w:p>
          <w:p w:rsidRPr="003E3073" w:rsidR="00824940" w:rsidP="00CF710A" w:rsidRDefault="00824940">
            <w:pPr>
              <w:pStyle w:val="broodtekst"/>
              <w:rPr>
                <w:b/>
                <w:bCs/>
              </w:rPr>
            </w:pPr>
            <w:r w:rsidRPr="003E3073">
              <w:rPr>
                <w:b/>
                <w:bCs/>
              </w:rPr>
              <w:t xml:space="preserve">De erf- en schenkbelasting </w:t>
            </w:r>
          </w:p>
          <w:p w:rsidRPr="003E3073" w:rsidR="00BA0E95" w:rsidP="00CF710A" w:rsidRDefault="00BA0E95">
            <w:pPr>
              <w:pStyle w:val="broodtekst"/>
              <w:rPr>
                <w:b/>
                <w:bCs/>
              </w:rPr>
            </w:pPr>
          </w:p>
          <w:p w:rsidRPr="003E3073" w:rsidR="00E83C98" w:rsidP="00CF710A" w:rsidRDefault="00BA0E95">
            <w:pPr>
              <w:shd w:val="clear" w:color="auto" w:fill="FFFFFF"/>
              <w:rPr>
                <w:rFonts w:eastAsia="Calibri" w:cs="Helvetica"/>
                <w:color w:val="000000"/>
                <w:szCs w:val="22"/>
                <w:lang w:eastAsia="en-US"/>
              </w:rPr>
            </w:pPr>
            <w:r w:rsidRPr="003E3073">
              <w:rPr>
                <w:rFonts w:eastAsia="Calibri" w:cs="Arial"/>
                <w:szCs w:val="18"/>
                <w:lang w:eastAsia="en-US"/>
              </w:rPr>
              <w:t xml:space="preserve">Een belangrijke rechtvaardiging voor het heffen van schenk- en erfbelasting is dat het ontvangen van een </w:t>
            </w:r>
            <w:r w:rsidRPr="003E3073">
              <w:rPr>
                <w:rFonts w:eastAsia="Calibri" w:cs="Verdana"/>
                <w:szCs w:val="18"/>
                <w:lang w:eastAsia="en-US"/>
              </w:rPr>
              <w:t xml:space="preserve">schenking of erfenis tot een hogere draagkracht leidt. </w:t>
            </w:r>
            <w:r w:rsidRPr="003E3073" w:rsidR="00614772">
              <w:rPr>
                <w:rFonts w:eastAsia="Calibri" w:cs="Verdana"/>
                <w:szCs w:val="18"/>
                <w:lang w:eastAsia="en-US"/>
              </w:rPr>
              <w:t xml:space="preserve">Daarbij komt dat het heffen van schenk- en erfbelasting in economische zin minder verstorend is dan bijvoorbeeld inkomstenbelasting. De schenk- en erfbelasting is bovendien een van de meest directe manieren om in te grijpen bij de overdracht van vermogen. </w:t>
            </w:r>
            <w:r w:rsidRPr="003E3073">
              <w:rPr>
                <w:rFonts w:eastAsia="Calibri" w:cs="Verdana"/>
                <w:szCs w:val="18"/>
                <w:lang w:eastAsia="en-US"/>
              </w:rPr>
              <w:t>Daarnaast speelt h</w:t>
            </w:r>
            <w:r w:rsidRPr="003E3073">
              <w:rPr>
                <w:rFonts w:eastAsia="Calibri" w:cs="Helvetica"/>
                <w:color w:val="000000"/>
                <w:szCs w:val="22"/>
                <w:lang w:eastAsia="en-US"/>
              </w:rPr>
              <w:t>et buitenkansbeginsel of</w:t>
            </w:r>
            <w:r w:rsidRPr="003E3073" w:rsidR="000C0AB8">
              <w:rPr>
                <w:rFonts w:eastAsia="Calibri" w:cs="Helvetica"/>
                <w:color w:val="000000"/>
                <w:szCs w:val="22"/>
                <w:lang w:eastAsia="en-US"/>
              </w:rPr>
              <w:t>wel</w:t>
            </w:r>
            <w:r w:rsidRPr="003E3073">
              <w:rPr>
                <w:rFonts w:eastAsia="Calibri" w:cs="Helvetica"/>
                <w:color w:val="000000"/>
                <w:szCs w:val="22"/>
                <w:lang w:eastAsia="en-US"/>
              </w:rPr>
              <w:t xml:space="preserve"> het beginsel van de </w:t>
            </w:r>
            <w:r w:rsidRPr="003E3073">
              <w:rPr>
                <w:rFonts w:eastAsia="Calibri" w:cs="Helvetica"/>
                <w:color w:val="000000"/>
                <w:szCs w:val="22"/>
                <w:lang w:eastAsia="en-US"/>
              </w:rPr>
              <w:lastRenderedPageBreak/>
              <w:t xml:space="preserve">bevoorrechte verkrijging een belangrijke rol. Het verkrijgen van een erfenis of schenking kan </w:t>
            </w:r>
            <w:r w:rsidRPr="003E3073" w:rsidR="007940E7">
              <w:rPr>
                <w:rFonts w:eastAsia="Calibri" w:cs="Helvetica"/>
                <w:color w:val="000000"/>
                <w:szCs w:val="22"/>
                <w:lang w:eastAsia="en-US"/>
              </w:rPr>
              <w:t xml:space="preserve">namelijk </w:t>
            </w:r>
            <w:r w:rsidRPr="003E3073">
              <w:rPr>
                <w:rFonts w:eastAsia="Calibri" w:cs="Helvetica"/>
                <w:color w:val="000000"/>
                <w:szCs w:val="22"/>
                <w:lang w:eastAsia="en-US"/>
              </w:rPr>
              <w:t>worden beschouwd als een buitenkans waarvoor geen inspanningen zijn verricht.</w:t>
            </w:r>
          </w:p>
          <w:p w:rsidRPr="003E3073" w:rsidR="00B55193" w:rsidP="00CF710A" w:rsidRDefault="00B55193">
            <w:pPr>
              <w:shd w:val="clear" w:color="auto" w:fill="FFFFFF"/>
              <w:rPr>
                <w:rFonts w:eastAsia="Calibri" w:cs="Helvetica"/>
                <w:color w:val="000000"/>
                <w:szCs w:val="22"/>
                <w:lang w:eastAsia="en-US"/>
              </w:rPr>
            </w:pPr>
          </w:p>
          <w:p w:rsidRPr="003E3073" w:rsidR="00BA0E95" w:rsidP="0049306F" w:rsidRDefault="00F67A86">
            <w:pPr>
              <w:shd w:val="clear" w:color="auto" w:fill="FFFFFF"/>
              <w:rPr>
                <w:rFonts w:ascii="Helvetica" w:hAnsi="Helvetica" w:cs="Helvetica"/>
                <w:color w:val="000000"/>
              </w:rPr>
            </w:pPr>
            <w:r w:rsidRPr="003E3073">
              <w:rPr>
                <w:rFonts w:cs="Verdana"/>
                <w:szCs w:val="18"/>
              </w:rPr>
              <w:t xml:space="preserve">De </w:t>
            </w:r>
            <w:r w:rsidRPr="003E3073">
              <w:rPr>
                <w:szCs w:val="18"/>
              </w:rPr>
              <w:t xml:space="preserve">uitgangspunten van de </w:t>
            </w:r>
            <w:r w:rsidRPr="003E3073" w:rsidR="00193D07">
              <w:rPr>
                <w:szCs w:val="18"/>
              </w:rPr>
              <w:t>schenk</w:t>
            </w:r>
            <w:r w:rsidRPr="003E3073" w:rsidR="0049306F">
              <w:rPr>
                <w:szCs w:val="18"/>
              </w:rPr>
              <w:t>- en erf</w:t>
            </w:r>
            <w:r w:rsidRPr="003E3073">
              <w:rPr>
                <w:szCs w:val="18"/>
              </w:rPr>
              <w:t>belasting zijn de verwachtingswaarde</w:t>
            </w:r>
            <w:r w:rsidRPr="003E3073" w:rsidR="003E1F5D">
              <w:rPr>
                <w:szCs w:val="18"/>
              </w:rPr>
              <w:t xml:space="preserve"> van de verkrijger</w:t>
            </w:r>
            <w:r w:rsidRPr="003E3073">
              <w:rPr>
                <w:szCs w:val="18"/>
              </w:rPr>
              <w:t xml:space="preserve"> (‘het is al van ons’) en de verzorgingsgedachte</w:t>
            </w:r>
            <w:r w:rsidRPr="003E3073" w:rsidR="00193D07">
              <w:rPr>
                <w:szCs w:val="18"/>
              </w:rPr>
              <w:t xml:space="preserve"> die in de tariefstructuur zijn verwerkt</w:t>
            </w:r>
            <w:r w:rsidRPr="003E3073">
              <w:rPr>
                <w:szCs w:val="18"/>
              </w:rPr>
              <w:t>.</w:t>
            </w:r>
            <w:r w:rsidRPr="003E3073" w:rsidR="00BA0E95">
              <w:rPr>
                <w:rFonts w:eastAsia="Calibri" w:cs="Arial"/>
                <w:szCs w:val="18"/>
                <w:lang w:eastAsia="en-US"/>
              </w:rPr>
              <w:t xml:space="preserve"> </w:t>
            </w:r>
            <w:r w:rsidRPr="003E3073" w:rsidR="00D80C81">
              <w:rPr>
                <w:rFonts w:eastAsia="Calibri" w:cs="Arial"/>
                <w:szCs w:val="18"/>
                <w:lang w:eastAsia="en-US"/>
              </w:rPr>
              <w:t>G</w:t>
            </w:r>
            <w:r w:rsidRPr="003E3073" w:rsidR="00BA0E95">
              <w:rPr>
                <w:rFonts w:eastAsia="Calibri" w:cs="Arial"/>
                <w:szCs w:val="18"/>
                <w:lang w:eastAsia="en-US"/>
              </w:rPr>
              <w:t xml:space="preserve">evolg is dat er een hogere vrijstelling (met name in de erfbelasting) en lagere tarieven </w:t>
            </w:r>
            <w:r w:rsidRPr="003E3073" w:rsidR="0020486A">
              <w:rPr>
                <w:rFonts w:eastAsia="Calibri" w:cs="Arial"/>
                <w:szCs w:val="18"/>
                <w:lang w:eastAsia="en-US"/>
              </w:rPr>
              <w:t xml:space="preserve">gelden </w:t>
            </w:r>
            <w:r w:rsidRPr="003E3073" w:rsidR="00BA0E95">
              <w:rPr>
                <w:rFonts w:eastAsia="Calibri" w:cs="Arial"/>
                <w:szCs w:val="18"/>
                <w:lang w:eastAsia="en-US"/>
              </w:rPr>
              <w:t xml:space="preserve">voor </w:t>
            </w:r>
            <w:r w:rsidRPr="003E3073" w:rsidR="00AD4FEE">
              <w:rPr>
                <w:rFonts w:eastAsia="Calibri" w:cs="Arial"/>
                <w:szCs w:val="18"/>
                <w:lang w:eastAsia="en-US"/>
              </w:rPr>
              <w:t xml:space="preserve">de </w:t>
            </w:r>
            <w:r w:rsidRPr="003E3073" w:rsidR="00BA0E95">
              <w:rPr>
                <w:rFonts w:eastAsia="Calibri" w:cs="Arial"/>
                <w:szCs w:val="18"/>
                <w:lang w:eastAsia="en-US"/>
              </w:rPr>
              <w:t>partner en kinderen.</w:t>
            </w:r>
            <w:r w:rsidRPr="003E3073" w:rsidR="00BA0E95">
              <w:rPr>
                <w:rFonts w:eastAsia="Calibri" w:cs="Arial"/>
                <w:szCs w:val="18"/>
                <w:vertAlign w:val="superscript"/>
                <w:lang w:eastAsia="en-US"/>
              </w:rPr>
              <w:footnoteReference w:id="1"/>
            </w:r>
            <w:r w:rsidRPr="003E3073" w:rsidR="00BA0E95">
              <w:rPr>
                <w:rFonts w:eastAsia="Calibri" w:cs="Arial"/>
                <w:szCs w:val="18"/>
                <w:lang w:eastAsia="en-US"/>
              </w:rPr>
              <w:t xml:space="preserve"> </w:t>
            </w:r>
            <w:r w:rsidRPr="003E3073" w:rsidR="00193D07">
              <w:rPr>
                <w:rFonts w:cs="Verdana"/>
                <w:szCs w:val="18"/>
              </w:rPr>
              <w:t>De schenk- en erfbelasting word</w:t>
            </w:r>
            <w:r w:rsidRPr="003E3073" w:rsidR="000814D3">
              <w:rPr>
                <w:rFonts w:cs="Verdana"/>
                <w:szCs w:val="18"/>
              </w:rPr>
              <w:t>t</w:t>
            </w:r>
            <w:r w:rsidRPr="003E3073" w:rsidR="00193D07">
              <w:rPr>
                <w:rFonts w:cs="Verdana"/>
                <w:szCs w:val="18"/>
              </w:rPr>
              <w:t xml:space="preserve"> geheven bij de verkrijger over de waarde van zijn verkrijging. </w:t>
            </w:r>
            <w:r w:rsidRPr="003E3073" w:rsidR="00BA0E95">
              <w:rPr>
                <w:rFonts w:eastAsia="Calibri" w:cs="Arial"/>
                <w:szCs w:val="18"/>
                <w:lang w:eastAsia="en-US"/>
              </w:rPr>
              <w:t xml:space="preserve">Bij de herziening van de schenk- en erfbelasting </w:t>
            </w:r>
            <w:r w:rsidRPr="003E3073" w:rsidR="00E10858">
              <w:rPr>
                <w:rFonts w:eastAsia="Calibri" w:cs="Arial"/>
                <w:szCs w:val="18"/>
                <w:lang w:eastAsia="en-US"/>
              </w:rPr>
              <w:t xml:space="preserve">in </w:t>
            </w:r>
            <w:r w:rsidRPr="003E3073" w:rsidR="00BA0E95">
              <w:rPr>
                <w:rFonts w:eastAsia="Calibri" w:cs="Arial"/>
                <w:szCs w:val="18"/>
                <w:lang w:eastAsia="en-US"/>
              </w:rPr>
              <w:t>2010 zijn deze uitgangspunten</w:t>
            </w:r>
            <w:r w:rsidRPr="003E3073" w:rsidR="008F31EE">
              <w:rPr>
                <w:rFonts w:eastAsia="Calibri" w:cs="Arial"/>
                <w:szCs w:val="18"/>
                <w:lang w:eastAsia="en-US"/>
              </w:rPr>
              <w:t xml:space="preserve"> die op brede maatschappelijk steun kunnen rekenen, </w:t>
            </w:r>
            <w:r w:rsidRPr="003E3073" w:rsidR="00BA0E95">
              <w:rPr>
                <w:rFonts w:eastAsia="Calibri" w:cs="Arial"/>
                <w:szCs w:val="18"/>
                <w:lang w:eastAsia="en-US"/>
              </w:rPr>
              <w:t>niet gewijzigd</w:t>
            </w:r>
            <w:r w:rsidRPr="003E3073" w:rsidR="00E10858">
              <w:rPr>
                <w:rFonts w:eastAsia="Calibri" w:cs="Arial"/>
                <w:szCs w:val="18"/>
                <w:lang w:eastAsia="en-US"/>
              </w:rPr>
              <w:t>.</w:t>
            </w:r>
            <w:r w:rsidRPr="003E3073" w:rsidR="000814D3">
              <w:rPr>
                <w:rFonts w:eastAsia="Calibri" w:cs="Arial"/>
                <w:szCs w:val="18"/>
                <w:lang w:eastAsia="en-US"/>
              </w:rPr>
              <w:t xml:space="preserve"> </w:t>
            </w:r>
            <w:r w:rsidRPr="003E3073" w:rsidR="0020486A">
              <w:rPr>
                <w:rFonts w:eastAsia="Calibri" w:cs="Arial"/>
                <w:szCs w:val="18"/>
                <w:lang w:eastAsia="en-US"/>
              </w:rPr>
              <w:t>Wel is s</w:t>
            </w:r>
            <w:r w:rsidRPr="003E3073" w:rsidR="00BA0E95">
              <w:rPr>
                <w:rFonts w:eastAsia="Calibri" w:cs="Arial"/>
                <w:szCs w:val="18"/>
                <w:lang w:eastAsia="en-US"/>
              </w:rPr>
              <w:t xml:space="preserve">indsdien </w:t>
            </w:r>
            <w:r w:rsidRPr="003E3073" w:rsidR="0020486A">
              <w:rPr>
                <w:rFonts w:eastAsia="Calibri" w:cs="Arial"/>
                <w:szCs w:val="18"/>
                <w:lang w:eastAsia="en-US"/>
              </w:rPr>
              <w:t>het</w:t>
            </w:r>
            <w:r w:rsidRPr="003E3073" w:rsidR="00BA0E95">
              <w:rPr>
                <w:rFonts w:eastAsia="Calibri" w:cs="Arial"/>
                <w:szCs w:val="18"/>
                <w:lang w:eastAsia="en-US"/>
              </w:rPr>
              <w:t xml:space="preserve"> onderscheid tussen verdere familie en goede vrienden </w:t>
            </w:r>
            <w:r w:rsidRPr="003E3073" w:rsidR="0020486A">
              <w:rPr>
                <w:rFonts w:eastAsia="Calibri" w:cs="Arial"/>
                <w:szCs w:val="18"/>
                <w:lang w:eastAsia="en-US"/>
              </w:rPr>
              <w:t>opgeheven</w:t>
            </w:r>
            <w:r w:rsidRPr="003E3073" w:rsidR="009676D4">
              <w:rPr>
                <w:rFonts w:eastAsia="Calibri" w:cs="Arial"/>
                <w:szCs w:val="18"/>
                <w:lang w:eastAsia="en-US"/>
              </w:rPr>
              <w:t xml:space="preserve"> en</w:t>
            </w:r>
            <w:r w:rsidRPr="003E3073" w:rsidR="00BA0E95">
              <w:rPr>
                <w:rFonts w:eastAsia="Calibri" w:cs="Arial"/>
                <w:szCs w:val="18"/>
                <w:lang w:eastAsia="en-US"/>
              </w:rPr>
              <w:t xml:space="preserve"> zijn de tarieven voor deze categorie fors verlaagd. Tot 2010 kon het tarief oplopen tot 68%. </w:t>
            </w:r>
            <w:r w:rsidRPr="003E3073" w:rsidR="00CD0A45">
              <w:rPr>
                <w:rFonts w:eastAsia="Calibri" w:cs="Arial"/>
                <w:szCs w:val="18"/>
                <w:lang w:eastAsia="en-US"/>
              </w:rPr>
              <w:t>Per</w:t>
            </w:r>
            <w:r w:rsidRPr="003E3073" w:rsidR="00BA0E95">
              <w:rPr>
                <w:rFonts w:eastAsia="Calibri" w:cs="Arial"/>
                <w:szCs w:val="18"/>
                <w:lang w:eastAsia="en-US"/>
              </w:rPr>
              <w:t xml:space="preserve"> 2010 bedraagt het tarief voor deze categorie (dus anderen dan </w:t>
            </w:r>
            <w:r w:rsidRPr="003E3073" w:rsidR="00AD4FEE">
              <w:rPr>
                <w:rFonts w:eastAsia="Calibri" w:cs="Arial"/>
                <w:szCs w:val="18"/>
                <w:lang w:eastAsia="en-US"/>
              </w:rPr>
              <w:t xml:space="preserve">de </w:t>
            </w:r>
            <w:r w:rsidRPr="003E3073" w:rsidR="00BA0E95">
              <w:rPr>
                <w:rFonts w:eastAsia="Calibri" w:cs="Arial"/>
                <w:szCs w:val="18"/>
                <w:lang w:eastAsia="en-US"/>
              </w:rPr>
              <w:t>partner en kinderen</w:t>
            </w:r>
            <w:r w:rsidRPr="003E3073" w:rsidR="00BA0E95">
              <w:rPr>
                <w:rFonts w:eastAsia="Calibri" w:cs="Arial"/>
                <w:szCs w:val="18"/>
                <w:vertAlign w:val="superscript"/>
                <w:lang w:eastAsia="en-US"/>
              </w:rPr>
              <w:footnoteReference w:id="2"/>
            </w:r>
            <w:r w:rsidRPr="003E3073" w:rsidR="00BA0E95">
              <w:rPr>
                <w:rFonts w:eastAsia="Calibri" w:cs="Arial"/>
                <w:szCs w:val="18"/>
                <w:lang w:eastAsia="en-US"/>
              </w:rPr>
              <w:t xml:space="preserve">) 30% over de eerste </w:t>
            </w:r>
            <w:r w:rsidRPr="003E3073" w:rsidR="00BA0E95">
              <w:rPr>
                <w:rFonts w:eastAsia="Calibri" w:cs="Verdana"/>
                <w:szCs w:val="18"/>
                <w:lang w:eastAsia="en-US"/>
              </w:rPr>
              <w:t xml:space="preserve">€ </w:t>
            </w:r>
            <w:r w:rsidRPr="003E3073" w:rsidR="00BA0E95">
              <w:rPr>
                <w:rFonts w:eastAsia="Calibri" w:cs="Arial"/>
                <w:szCs w:val="18"/>
                <w:lang w:eastAsia="en-US"/>
              </w:rPr>
              <w:t>130.424 (bedrag 2022) aan belaste verkrijging en daarboven 40%.</w:t>
            </w:r>
            <w:r w:rsidRPr="003E3073" w:rsidR="00BA0E95">
              <w:rPr>
                <w:rFonts w:eastAsia="Calibri" w:cs="Helvetica"/>
                <w:color w:val="000000"/>
                <w:szCs w:val="22"/>
                <w:lang w:eastAsia="en-US"/>
              </w:rPr>
              <w:t xml:space="preserve"> </w:t>
            </w:r>
            <w:r w:rsidRPr="003E3073" w:rsidR="00A201D8">
              <w:rPr>
                <w:rFonts w:cs="Helvetica"/>
                <w:color w:val="000000"/>
              </w:rPr>
              <w:t xml:space="preserve">Het gemaakte onderscheid in de tariefstructuur en vrijstellingen </w:t>
            </w:r>
            <w:r w:rsidRPr="003E3073" w:rsidR="00E83C98">
              <w:rPr>
                <w:rFonts w:cs="Helvetica"/>
                <w:color w:val="000000"/>
              </w:rPr>
              <w:t xml:space="preserve">naar de mate van verwantschap </w:t>
            </w:r>
            <w:r w:rsidRPr="003E3073" w:rsidR="00A201D8">
              <w:rPr>
                <w:rFonts w:cs="Helvetica"/>
                <w:color w:val="000000"/>
              </w:rPr>
              <w:t xml:space="preserve">is </w:t>
            </w:r>
            <w:r w:rsidRPr="003E3073" w:rsidR="00C52354">
              <w:rPr>
                <w:rFonts w:cs="Helvetica"/>
                <w:color w:val="000000"/>
              </w:rPr>
              <w:t xml:space="preserve">volgens de </w:t>
            </w:r>
            <w:r w:rsidRPr="003E3073" w:rsidR="00CD0A45">
              <w:rPr>
                <w:rFonts w:cs="Helvetica"/>
                <w:color w:val="000000"/>
              </w:rPr>
              <w:t>rechtspraak</w:t>
            </w:r>
            <w:r w:rsidRPr="003E3073" w:rsidR="00C52354">
              <w:rPr>
                <w:rFonts w:cs="Helvetica"/>
                <w:color w:val="000000"/>
              </w:rPr>
              <w:t xml:space="preserve"> </w:t>
            </w:r>
            <w:r w:rsidRPr="003E3073" w:rsidR="00A201D8">
              <w:rPr>
                <w:rFonts w:cs="Helvetica"/>
                <w:color w:val="000000"/>
              </w:rPr>
              <w:t xml:space="preserve">niet in strijd </w:t>
            </w:r>
            <w:r w:rsidRPr="003E3073" w:rsidR="00E83C98">
              <w:rPr>
                <w:rFonts w:cs="Helvetica"/>
                <w:color w:val="000000"/>
              </w:rPr>
              <w:t>met </w:t>
            </w:r>
            <w:r w:rsidRPr="003E3073" w:rsidR="00CD0A45">
              <w:rPr>
                <w:rFonts w:cs="Helvetica"/>
                <w:color w:val="000000"/>
              </w:rPr>
              <w:t xml:space="preserve">het </w:t>
            </w:r>
            <w:r w:rsidRPr="003E3073" w:rsidR="00C52354">
              <w:rPr>
                <w:rFonts w:cs="Helvetica"/>
                <w:color w:val="000000"/>
              </w:rPr>
              <w:t>gelijkheidsbeginsel (</w:t>
            </w:r>
            <w:r w:rsidRPr="003E3073" w:rsidR="009676D4">
              <w:rPr>
                <w:rFonts w:cs="Helvetica"/>
                <w:color w:val="000000"/>
              </w:rPr>
              <w:t xml:space="preserve">artikel 26 </w:t>
            </w:r>
            <w:r w:rsidRPr="003E3073" w:rsidR="00E83C98">
              <w:rPr>
                <w:rFonts w:cs="Helvetica"/>
                <w:color w:val="000000"/>
              </w:rPr>
              <w:t>van het I</w:t>
            </w:r>
            <w:r w:rsidRPr="003E3073" w:rsidR="00C52354">
              <w:rPr>
                <w:rFonts w:cs="Helvetica"/>
                <w:color w:val="000000"/>
              </w:rPr>
              <w:t xml:space="preserve">nternationaal </w:t>
            </w:r>
            <w:r w:rsidRPr="003E3073" w:rsidR="00E83C98">
              <w:rPr>
                <w:rFonts w:cs="Helvetica"/>
                <w:color w:val="000000"/>
              </w:rPr>
              <w:t>V</w:t>
            </w:r>
            <w:r w:rsidRPr="003E3073" w:rsidR="00C52354">
              <w:rPr>
                <w:rFonts w:cs="Helvetica"/>
                <w:color w:val="000000"/>
              </w:rPr>
              <w:t>erdrag inzake burgerrechten en politieke rechten), het discriminatieverbod (</w:t>
            </w:r>
            <w:r w:rsidRPr="003E3073" w:rsidR="009676D4">
              <w:rPr>
                <w:rFonts w:cs="Helvetica"/>
                <w:color w:val="000000"/>
              </w:rPr>
              <w:t xml:space="preserve">artikel 14 </w:t>
            </w:r>
            <w:r w:rsidRPr="003E3073" w:rsidR="00E83C98">
              <w:rPr>
                <w:rFonts w:cs="Helvetica"/>
                <w:color w:val="000000"/>
              </w:rPr>
              <w:t>van het E</w:t>
            </w:r>
            <w:r w:rsidRPr="003E3073" w:rsidR="00C52354">
              <w:rPr>
                <w:rFonts w:cs="Helvetica"/>
                <w:color w:val="000000"/>
              </w:rPr>
              <w:t xml:space="preserve">uropees </w:t>
            </w:r>
            <w:r w:rsidRPr="003E3073" w:rsidR="00E83C98">
              <w:rPr>
                <w:rFonts w:cs="Helvetica"/>
                <w:color w:val="000000"/>
              </w:rPr>
              <w:t>V</w:t>
            </w:r>
            <w:r w:rsidRPr="003E3073" w:rsidR="00C52354">
              <w:rPr>
                <w:rFonts w:cs="Helvetica"/>
                <w:color w:val="000000"/>
              </w:rPr>
              <w:t xml:space="preserve">erdrag van de </w:t>
            </w:r>
            <w:r w:rsidRPr="003E3073" w:rsidR="00E83C98">
              <w:rPr>
                <w:rFonts w:cs="Helvetica"/>
                <w:color w:val="000000"/>
              </w:rPr>
              <w:t>R</w:t>
            </w:r>
            <w:r w:rsidRPr="003E3073" w:rsidR="00C52354">
              <w:rPr>
                <w:rFonts w:cs="Helvetica"/>
                <w:color w:val="000000"/>
              </w:rPr>
              <w:t xml:space="preserve">echten van de </w:t>
            </w:r>
            <w:r w:rsidRPr="003E3073" w:rsidR="00E83C98">
              <w:rPr>
                <w:rFonts w:cs="Helvetica"/>
                <w:color w:val="000000"/>
              </w:rPr>
              <w:t>M</w:t>
            </w:r>
            <w:r w:rsidRPr="003E3073" w:rsidR="00C52354">
              <w:rPr>
                <w:rFonts w:cs="Helvetica"/>
                <w:color w:val="000000"/>
              </w:rPr>
              <w:t>ens)</w:t>
            </w:r>
            <w:r w:rsidRPr="003E3073" w:rsidR="00E83C98">
              <w:rPr>
                <w:rFonts w:cs="Helvetica"/>
                <w:color w:val="000000"/>
              </w:rPr>
              <w:t xml:space="preserve"> en/of </w:t>
            </w:r>
            <w:r w:rsidRPr="003E3073" w:rsidR="00C52354">
              <w:rPr>
                <w:rFonts w:cs="Helvetica"/>
                <w:color w:val="000000"/>
              </w:rPr>
              <w:t>het recht op eigendom (</w:t>
            </w:r>
            <w:r w:rsidRPr="003E3073" w:rsidR="009676D4">
              <w:rPr>
                <w:rFonts w:cs="Helvetica"/>
                <w:color w:val="000000"/>
              </w:rPr>
              <w:t xml:space="preserve">artikel 1 </w:t>
            </w:r>
            <w:r w:rsidRPr="003E3073" w:rsidR="00E83C98">
              <w:rPr>
                <w:rFonts w:cs="Helvetica"/>
                <w:color w:val="000000"/>
              </w:rPr>
              <w:t>van het Eerste Protocol EVRM</w:t>
            </w:r>
            <w:r w:rsidRPr="003E3073" w:rsidR="00C52354">
              <w:rPr>
                <w:rFonts w:cs="Helvetica"/>
                <w:color w:val="000000"/>
              </w:rPr>
              <w:t>)</w:t>
            </w:r>
            <w:r w:rsidRPr="003E3073" w:rsidR="00E83C98">
              <w:rPr>
                <w:rFonts w:cs="Helvetica"/>
                <w:color w:val="000000"/>
              </w:rPr>
              <w:t>.</w:t>
            </w:r>
            <w:r w:rsidRPr="003E3073" w:rsidR="00A201D8">
              <w:rPr>
                <w:rStyle w:val="Voetnootmarkering"/>
                <w:rFonts w:cs="Helvetica"/>
                <w:color w:val="000000"/>
              </w:rPr>
              <w:footnoteReference w:id="3"/>
            </w:r>
          </w:p>
          <w:p w:rsidRPr="003E3073" w:rsidR="00AF4D82" w:rsidP="00CF710A" w:rsidRDefault="00AF4D82">
            <w:pPr>
              <w:shd w:val="clear" w:color="auto" w:fill="FFFFFF"/>
              <w:rPr>
                <w:rFonts w:eastAsia="Calibri" w:cs="Helvetica"/>
                <w:color w:val="000000"/>
                <w:szCs w:val="22"/>
                <w:lang w:eastAsia="en-US"/>
              </w:rPr>
            </w:pPr>
          </w:p>
          <w:p w:rsidRPr="003E3073" w:rsidR="00BA0E95" w:rsidP="000C0AB8" w:rsidRDefault="00BA0E95">
            <w:pPr>
              <w:autoSpaceDE w:val="0"/>
              <w:autoSpaceDN w:val="0"/>
              <w:adjustRightInd w:val="0"/>
              <w:rPr>
                <w:rFonts w:eastAsia="Calibri" w:cs="Arial"/>
                <w:szCs w:val="22"/>
                <w:lang w:eastAsia="en-US"/>
              </w:rPr>
            </w:pPr>
            <w:r w:rsidRPr="003E3073">
              <w:rPr>
                <w:rFonts w:eastAsia="Calibri" w:cs="Arial"/>
                <w:szCs w:val="18"/>
                <w:lang w:eastAsia="en-US"/>
              </w:rPr>
              <w:t xml:space="preserve">De vraag van </w:t>
            </w:r>
            <w:r w:rsidRPr="003E3073" w:rsidR="00AD4FEE">
              <w:rPr>
                <w:rFonts w:eastAsia="Calibri" w:cs="Arial"/>
                <w:szCs w:val="18"/>
                <w:lang w:eastAsia="en-US"/>
              </w:rPr>
              <w:t xml:space="preserve">het </w:t>
            </w:r>
            <w:r w:rsidRPr="003E3073">
              <w:rPr>
                <w:rFonts w:eastAsia="Calibri" w:cs="Arial"/>
                <w:szCs w:val="18"/>
                <w:lang w:eastAsia="en-US"/>
              </w:rPr>
              <w:t xml:space="preserve">lid </w:t>
            </w:r>
            <w:r w:rsidRPr="003E3073" w:rsidR="00AD4FEE">
              <w:rPr>
                <w:rFonts w:eastAsia="Calibri" w:cs="Arial"/>
                <w:szCs w:val="18"/>
                <w:lang w:eastAsia="en-US"/>
              </w:rPr>
              <w:t xml:space="preserve">Van Ginneken </w:t>
            </w:r>
            <w:r w:rsidRPr="003E3073">
              <w:rPr>
                <w:rFonts w:eastAsia="Calibri" w:cs="Arial"/>
                <w:szCs w:val="18"/>
                <w:lang w:eastAsia="en-US"/>
              </w:rPr>
              <w:t xml:space="preserve">naar een andere behandeling van </w:t>
            </w:r>
            <w:r w:rsidRPr="003E3073" w:rsidR="008F31EE">
              <w:rPr>
                <w:rFonts w:eastAsia="Calibri" w:cs="Arial"/>
                <w:szCs w:val="18"/>
                <w:lang w:eastAsia="en-US"/>
              </w:rPr>
              <w:t xml:space="preserve">schenkingen en erfenissen afkomstig van </w:t>
            </w:r>
            <w:r w:rsidRPr="003E3073">
              <w:rPr>
                <w:rFonts w:eastAsia="Calibri" w:cs="Arial"/>
                <w:szCs w:val="18"/>
                <w:lang w:eastAsia="en-US"/>
              </w:rPr>
              <w:t>alleenstaanden</w:t>
            </w:r>
            <w:r w:rsidRPr="003E3073" w:rsidR="009028A4">
              <w:rPr>
                <w:rFonts w:eastAsia="Calibri" w:cs="Arial"/>
                <w:szCs w:val="18"/>
                <w:lang w:eastAsia="en-US"/>
              </w:rPr>
              <w:t>, in deze context dus</w:t>
            </w:r>
            <w:r w:rsidRPr="003E3073" w:rsidR="00B55193">
              <w:rPr>
                <w:rFonts w:eastAsia="Calibri" w:cs="Arial"/>
                <w:szCs w:val="18"/>
                <w:lang w:eastAsia="en-US"/>
              </w:rPr>
              <w:t xml:space="preserve"> zonder </w:t>
            </w:r>
            <w:r w:rsidRPr="003E3073" w:rsidR="004C65A6">
              <w:rPr>
                <w:rFonts w:eastAsia="Calibri" w:cs="Arial"/>
                <w:szCs w:val="18"/>
                <w:lang w:eastAsia="en-US"/>
              </w:rPr>
              <w:t xml:space="preserve">partner en </w:t>
            </w:r>
            <w:r w:rsidRPr="003E3073" w:rsidR="00B55193">
              <w:rPr>
                <w:rFonts w:eastAsia="Calibri" w:cs="Arial"/>
                <w:szCs w:val="18"/>
                <w:lang w:eastAsia="en-US"/>
              </w:rPr>
              <w:t>kind</w:t>
            </w:r>
            <w:r w:rsidRPr="003E3073" w:rsidR="004C65A6">
              <w:rPr>
                <w:rFonts w:eastAsia="Calibri" w:cs="Arial"/>
                <w:szCs w:val="18"/>
                <w:lang w:eastAsia="en-US"/>
              </w:rPr>
              <w:t>(</w:t>
            </w:r>
            <w:r w:rsidRPr="003E3073" w:rsidR="00B55193">
              <w:rPr>
                <w:rFonts w:eastAsia="Calibri" w:cs="Arial"/>
                <w:szCs w:val="18"/>
                <w:lang w:eastAsia="en-US"/>
              </w:rPr>
              <w:t>eren</w:t>
            </w:r>
            <w:r w:rsidRPr="003E3073" w:rsidR="004C65A6">
              <w:rPr>
                <w:rFonts w:eastAsia="Calibri" w:cs="Arial"/>
                <w:szCs w:val="18"/>
                <w:lang w:eastAsia="en-US"/>
              </w:rPr>
              <w:t>)</w:t>
            </w:r>
            <w:r w:rsidRPr="003E3073" w:rsidR="009028A4">
              <w:rPr>
                <w:rFonts w:eastAsia="Calibri" w:cs="Arial"/>
                <w:szCs w:val="18"/>
                <w:lang w:eastAsia="en-US"/>
              </w:rPr>
              <w:t>,</w:t>
            </w:r>
            <w:r w:rsidRPr="003E3073">
              <w:rPr>
                <w:rFonts w:eastAsia="Calibri" w:cs="Arial"/>
                <w:szCs w:val="18"/>
                <w:lang w:eastAsia="en-US"/>
              </w:rPr>
              <w:t xml:space="preserve"> is eerder aan de orde geweest. </w:t>
            </w:r>
            <w:r w:rsidRPr="003E3073" w:rsidR="00CB2B95">
              <w:rPr>
                <w:rFonts w:eastAsia="Calibri" w:cs="Arial"/>
                <w:szCs w:val="18"/>
                <w:lang w:eastAsia="en-US"/>
              </w:rPr>
              <w:t xml:space="preserve">De </w:t>
            </w:r>
            <w:r w:rsidRPr="003E3073" w:rsidR="0062646F">
              <w:rPr>
                <w:rFonts w:eastAsia="Calibri" w:cs="Arial"/>
                <w:szCs w:val="18"/>
                <w:lang w:eastAsia="en-US"/>
              </w:rPr>
              <w:t xml:space="preserve">toenmalige </w:t>
            </w:r>
            <w:r w:rsidRPr="003E3073" w:rsidR="00CB2B95">
              <w:rPr>
                <w:rFonts w:eastAsia="Calibri" w:cs="Arial"/>
                <w:szCs w:val="18"/>
                <w:lang w:eastAsia="en-US"/>
              </w:rPr>
              <w:t xml:space="preserve">Staatssecretaris van Financiën </w:t>
            </w:r>
            <w:r w:rsidRPr="003E3073" w:rsidR="00692071">
              <w:rPr>
                <w:rFonts w:eastAsia="Calibri" w:cs="Arial"/>
                <w:szCs w:val="18"/>
                <w:lang w:eastAsia="en-US"/>
              </w:rPr>
              <w:t xml:space="preserve">heeft in 2020 </w:t>
            </w:r>
            <w:r w:rsidRPr="003E3073" w:rsidR="007940E7">
              <w:rPr>
                <w:rFonts w:eastAsia="Calibri" w:cs="Arial"/>
                <w:szCs w:val="18"/>
                <w:lang w:eastAsia="en-US"/>
              </w:rPr>
              <w:t>de</w:t>
            </w:r>
            <w:r w:rsidRPr="003E3073" w:rsidR="009676D4">
              <w:rPr>
                <w:rFonts w:eastAsia="Calibri" w:cs="Arial"/>
                <w:szCs w:val="18"/>
                <w:lang w:eastAsia="en-US"/>
              </w:rPr>
              <w:t xml:space="preserve"> </w:t>
            </w:r>
            <w:r w:rsidRPr="003E3073" w:rsidR="001F3D13">
              <w:rPr>
                <w:rFonts w:eastAsia="Calibri" w:cs="Arial"/>
                <w:szCs w:val="18"/>
                <w:lang w:eastAsia="en-US"/>
              </w:rPr>
              <w:t>“</w:t>
            </w:r>
            <w:r w:rsidRPr="003E3073">
              <w:rPr>
                <w:rFonts w:eastAsia="Calibri" w:cs="Arial"/>
                <w:szCs w:val="18"/>
                <w:lang w:eastAsia="en-US"/>
              </w:rPr>
              <w:t>Bouwstenen voor een beter belastingstelsel</w:t>
            </w:r>
            <w:r w:rsidRPr="003E3073" w:rsidR="001F3D13">
              <w:rPr>
                <w:rFonts w:eastAsia="Calibri" w:cs="Arial"/>
                <w:szCs w:val="18"/>
                <w:lang w:eastAsia="en-US"/>
              </w:rPr>
              <w:t>”</w:t>
            </w:r>
            <w:r w:rsidRPr="003E3073">
              <w:rPr>
                <w:rFonts w:eastAsia="Calibri" w:cs="Arial"/>
                <w:szCs w:val="18"/>
                <w:lang w:eastAsia="en-US"/>
              </w:rPr>
              <w:t xml:space="preserve"> </w:t>
            </w:r>
            <w:r w:rsidRPr="003E3073" w:rsidR="00692071">
              <w:rPr>
                <w:rFonts w:eastAsia="Calibri" w:cs="Arial"/>
                <w:szCs w:val="18"/>
                <w:lang w:eastAsia="en-US"/>
              </w:rPr>
              <w:t>aan de Tweede Kamer aangeboden.</w:t>
            </w:r>
            <w:r w:rsidRPr="003E3073" w:rsidR="00CB2B95">
              <w:rPr>
                <w:rStyle w:val="Voetnootmarkering"/>
                <w:rFonts w:eastAsia="Calibri" w:cs="Arial"/>
                <w:szCs w:val="18"/>
                <w:lang w:eastAsia="en-US"/>
              </w:rPr>
              <w:footnoteReference w:id="4"/>
            </w:r>
            <w:r w:rsidRPr="003E3073" w:rsidR="00692071">
              <w:rPr>
                <w:rFonts w:eastAsia="Calibri" w:cs="Arial"/>
                <w:szCs w:val="18"/>
                <w:lang w:eastAsia="en-US"/>
              </w:rPr>
              <w:t xml:space="preserve"> In fiche 96 van deze bouwstenen </w:t>
            </w:r>
            <w:r w:rsidRPr="003E3073">
              <w:rPr>
                <w:rFonts w:eastAsia="Calibri" w:cs="Arial"/>
                <w:szCs w:val="18"/>
                <w:lang w:eastAsia="en-US"/>
              </w:rPr>
              <w:t xml:space="preserve">is onderzocht </w:t>
            </w:r>
            <w:r w:rsidRPr="003E3073" w:rsidR="008F31EE">
              <w:rPr>
                <w:rFonts w:eastAsia="Calibri" w:cs="Arial"/>
                <w:szCs w:val="18"/>
                <w:lang w:eastAsia="en-US"/>
              </w:rPr>
              <w:t xml:space="preserve">of het mogelijk is in de tariefstelling en vrijstellingen in de schenk- en erfbelasting meer rekening te houden met het verschil in leefvormen. Het leefvormneutraal maken van de </w:t>
            </w:r>
            <w:r w:rsidRPr="003E3073" w:rsidR="008F31EE">
              <w:rPr>
                <w:rFonts w:cs="Verdana"/>
                <w:szCs w:val="18"/>
                <w:lang w:eastAsia="en-US"/>
              </w:rPr>
              <w:t>schenk- en erfbelasting impliceert dat alle verkrijgers – onafhankelijk van de familierelatie – gelijk worden behandeld. Het verband met het civiele erfrecht wordt dan losgelaten. Dat is mogelijk</w:t>
            </w:r>
            <w:r w:rsidRPr="003E3073" w:rsidR="00F67650">
              <w:rPr>
                <w:rFonts w:cs="Verdana"/>
                <w:szCs w:val="18"/>
                <w:lang w:eastAsia="en-US"/>
              </w:rPr>
              <w:t>,</w:t>
            </w:r>
            <w:r w:rsidRPr="003E3073" w:rsidR="008F31EE">
              <w:rPr>
                <w:rFonts w:cs="Verdana"/>
                <w:szCs w:val="18"/>
                <w:lang w:eastAsia="en-US"/>
              </w:rPr>
              <w:t xml:space="preserve"> maar sluit minder aan bij het idee van de verwachtingswaarde en de verzorgingsgedachte</w:t>
            </w:r>
            <w:r w:rsidRPr="003E3073" w:rsidR="00F67650">
              <w:rPr>
                <w:rFonts w:cs="Verdana"/>
                <w:szCs w:val="18"/>
                <w:lang w:eastAsia="en-US"/>
              </w:rPr>
              <w:t xml:space="preserve"> dan de huidige schenk- en erfbelasting</w:t>
            </w:r>
            <w:r w:rsidRPr="003E3073" w:rsidR="008F31EE">
              <w:rPr>
                <w:rFonts w:cs="Verdana"/>
                <w:szCs w:val="18"/>
                <w:lang w:eastAsia="en-US"/>
              </w:rPr>
              <w:t xml:space="preserve">. Een andere mogelijkheid </w:t>
            </w:r>
            <w:r w:rsidRPr="003E3073" w:rsidR="008F31EE">
              <w:rPr>
                <w:rFonts w:eastAsia="Calibri" w:cs="Verdana"/>
                <w:szCs w:val="18"/>
                <w:lang w:eastAsia="en-US"/>
              </w:rPr>
              <w:t xml:space="preserve">is </w:t>
            </w:r>
            <w:r w:rsidRPr="003E3073">
              <w:rPr>
                <w:rFonts w:eastAsia="Calibri" w:cs="Verdana"/>
                <w:szCs w:val="18"/>
                <w:lang w:eastAsia="en-US"/>
              </w:rPr>
              <w:t xml:space="preserve">dat alleenstaanden één of twee personen kunnen aanwijzen die voor de schenk- en erfbelasting worden behandeld als een eerstegraadverwant. Belangrijke vragen </w:t>
            </w:r>
            <w:r w:rsidRPr="003E3073" w:rsidR="00F67650">
              <w:rPr>
                <w:rFonts w:eastAsia="Calibri" w:cs="Verdana"/>
                <w:szCs w:val="18"/>
                <w:lang w:eastAsia="en-US"/>
              </w:rPr>
              <w:t xml:space="preserve">hierbij </w:t>
            </w:r>
            <w:r w:rsidRPr="003E3073">
              <w:rPr>
                <w:rFonts w:eastAsia="Calibri" w:cs="Verdana"/>
                <w:szCs w:val="18"/>
                <w:lang w:eastAsia="en-US"/>
              </w:rPr>
              <w:t xml:space="preserve">zijn of een alleenstaande één persoon of bijvoorbeeld twee personen kan aanwijzen, wanneer en op welke wijze de aanwijzing van deze </w:t>
            </w:r>
            <w:r w:rsidRPr="003E3073" w:rsidR="008F31EE">
              <w:rPr>
                <w:rFonts w:eastAsia="Calibri" w:cs="Verdana"/>
                <w:szCs w:val="18"/>
                <w:lang w:eastAsia="en-US"/>
              </w:rPr>
              <w:t xml:space="preserve">één of </w:t>
            </w:r>
            <w:r w:rsidRPr="003E3073">
              <w:rPr>
                <w:rFonts w:eastAsia="Calibri" w:cs="Verdana"/>
                <w:szCs w:val="18"/>
                <w:lang w:eastAsia="en-US"/>
              </w:rPr>
              <w:t xml:space="preserve">twee personen plaatsvindt, </w:t>
            </w:r>
            <w:r w:rsidRPr="003E3073" w:rsidR="00F67650">
              <w:rPr>
                <w:rFonts w:eastAsia="Calibri" w:cs="Verdana"/>
                <w:szCs w:val="18"/>
                <w:lang w:eastAsia="en-US"/>
              </w:rPr>
              <w:t xml:space="preserve">of </w:t>
            </w:r>
            <w:r w:rsidRPr="003E3073">
              <w:rPr>
                <w:rFonts w:eastAsia="Calibri" w:cs="Verdana"/>
                <w:szCs w:val="18"/>
                <w:lang w:eastAsia="en-US"/>
              </w:rPr>
              <w:t>de aanwijzing voor het leven</w:t>
            </w:r>
            <w:r w:rsidRPr="003E3073" w:rsidR="00F67650">
              <w:rPr>
                <w:rFonts w:eastAsia="Calibri" w:cs="Verdana"/>
                <w:szCs w:val="18"/>
                <w:lang w:eastAsia="en-US"/>
              </w:rPr>
              <w:t xml:space="preserve"> is of </w:t>
            </w:r>
            <w:r w:rsidRPr="003E3073">
              <w:rPr>
                <w:rFonts w:eastAsia="Calibri" w:cs="Verdana"/>
                <w:szCs w:val="18"/>
                <w:lang w:eastAsia="en-US"/>
              </w:rPr>
              <w:t>automatisch</w:t>
            </w:r>
            <w:r w:rsidRPr="003E3073" w:rsidR="00F67650">
              <w:rPr>
                <w:rFonts w:eastAsia="Calibri" w:cs="Verdana"/>
                <w:szCs w:val="18"/>
                <w:lang w:eastAsia="en-US"/>
              </w:rPr>
              <w:t xml:space="preserve"> vervalt</w:t>
            </w:r>
            <w:r w:rsidRPr="003E3073">
              <w:rPr>
                <w:rFonts w:eastAsia="Calibri" w:cs="Verdana"/>
                <w:szCs w:val="18"/>
                <w:lang w:eastAsia="en-US"/>
              </w:rPr>
              <w:t xml:space="preserve"> indien de</w:t>
            </w:r>
            <w:r w:rsidRPr="003E3073" w:rsidR="00F67650">
              <w:rPr>
                <w:rFonts w:eastAsia="Calibri" w:cs="Verdana"/>
                <w:szCs w:val="18"/>
                <w:lang w:eastAsia="en-US"/>
              </w:rPr>
              <w:t xml:space="preserve"> levenssituatie van de</w:t>
            </w:r>
            <w:r w:rsidRPr="003E3073">
              <w:rPr>
                <w:rFonts w:eastAsia="Calibri" w:cs="Verdana"/>
                <w:szCs w:val="18"/>
                <w:lang w:eastAsia="en-US"/>
              </w:rPr>
              <w:t xml:space="preserve"> alleenstaande </w:t>
            </w:r>
            <w:r w:rsidRPr="003E3073" w:rsidR="00F67650">
              <w:rPr>
                <w:rFonts w:eastAsia="Calibri" w:cs="Verdana"/>
                <w:szCs w:val="18"/>
                <w:lang w:eastAsia="en-US"/>
              </w:rPr>
              <w:t xml:space="preserve">verandert, bijvoorbeeld door </w:t>
            </w:r>
            <w:r w:rsidRPr="003E3073" w:rsidR="000C0AB8">
              <w:rPr>
                <w:rFonts w:eastAsia="Calibri" w:cs="Verdana"/>
                <w:szCs w:val="18"/>
                <w:lang w:eastAsia="en-US"/>
              </w:rPr>
              <w:t xml:space="preserve">de komst van </w:t>
            </w:r>
            <w:r w:rsidRPr="003E3073">
              <w:rPr>
                <w:rFonts w:eastAsia="Calibri" w:cs="Verdana"/>
                <w:szCs w:val="18"/>
                <w:lang w:eastAsia="en-US"/>
              </w:rPr>
              <w:t>een partner of kind</w:t>
            </w:r>
            <w:r w:rsidRPr="003E3073" w:rsidR="00AF4D82">
              <w:rPr>
                <w:rFonts w:eastAsia="Calibri" w:cs="Verdana"/>
                <w:szCs w:val="18"/>
                <w:lang w:eastAsia="en-US"/>
              </w:rPr>
              <w:t>, en</w:t>
            </w:r>
            <w:r w:rsidRPr="003E3073" w:rsidR="00824B56">
              <w:rPr>
                <w:rFonts w:eastAsia="Calibri" w:cs="Verdana"/>
                <w:szCs w:val="18"/>
                <w:lang w:eastAsia="en-US"/>
              </w:rPr>
              <w:t xml:space="preserve"> op welke wijze de aanwijzing wordt geregistreerd en bij welke </w:t>
            </w:r>
            <w:r w:rsidRPr="003E3073" w:rsidR="00AF4D82">
              <w:rPr>
                <w:rFonts w:eastAsia="Calibri" w:cs="Verdana"/>
                <w:szCs w:val="18"/>
                <w:lang w:eastAsia="en-US"/>
              </w:rPr>
              <w:t>instantie</w:t>
            </w:r>
            <w:r w:rsidRPr="003E3073">
              <w:rPr>
                <w:rFonts w:eastAsia="Calibri" w:cs="Verdana"/>
                <w:szCs w:val="18"/>
                <w:lang w:eastAsia="en-US"/>
              </w:rPr>
              <w:t xml:space="preserve">. </w:t>
            </w:r>
            <w:r w:rsidRPr="003E3073" w:rsidR="000C0AB8">
              <w:rPr>
                <w:rFonts w:eastAsia="Calibri" w:cs="Verdana"/>
                <w:szCs w:val="18"/>
                <w:lang w:eastAsia="en-US"/>
              </w:rPr>
              <w:t>Deze en andere vragen geven aan dat zo’n systeem complex zou zijn ten opzichte van de huidige aanknopingspunten voor de schenk- en erfbelasting.</w:t>
            </w:r>
          </w:p>
          <w:p w:rsidRPr="003E3073" w:rsidR="00BA0E95" w:rsidP="00CF710A" w:rsidRDefault="00BA0E95">
            <w:pPr>
              <w:autoSpaceDE w:val="0"/>
              <w:autoSpaceDN w:val="0"/>
              <w:adjustRightInd w:val="0"/>
              <w:rPr>
                <w:rFonts w:eastAsia="Calibri" w:cs="Verdana"/>
                <w:szCs w:val="18"/>
                <w:lang w:eastAsia="en-US"/>
              </w:rPr>
            </w:pPr>
          </w:p>
          <w:p w:rsidRPr="003E3073" w:rsidR="00EC62A1" w:rsidP="00EC62A1" w:rsidRDefault="00EC62A1">
            <w:pPr>
              <w:spacing w:line="240" w:lineRule="auto"/>
              <w:rPr>
                <w:rFonts w:eastAsia="Calibri" w:cs="Calibri"/>
                <w:szCs w:val="18"/>
                <w:lang w:eastAsia="en-US"/>
              </w:rPr>
            </w:pPr>
            <w:r w:rsidRPr="003E3073">
              <w:rPr>
                <w:rFonts w:eastAsia="Calibri" w:cs="Calibri"/>
                <w:szCs w:val="18"/>
                <w:lang w:eastAsia="en-US"/>
              </w:rPr>
              <w:t>Overigens wordt in fiche 93 van de “Bouwstenen voor een beter belastingstelsel” voorgesteld om erfrechtelijke verkrijgingen ongeacht de relatie tussen de</w:t>
            </w:r>
          </w:p>
          <w:p w:rsidRPr="003E3073" w:rsidR="00EC62A1" w:rsidP="00EC62A1" w:rsidRDefault="00EC62A1">
            <w:pPr>
              <w:spacing w:line="240" w:lineRule="auto"/>
              <w:rPr>
                <w:rFonts w:eastAsia="Calibri" w:cs="Calibri"/>
                <w:szCs w:val="18"/>
                <w:lang w:eastAsia="en-US"/>
              </w:rPr>
            </w:pPr>
            <w:r w:rsidRPr="003E3073">
              <w:rPr>
                <w:rFonts w:eastAsia="Calibri" w:cs="Calibri"/>
                <w:szCs w:val="18"/>
                <w:lang w:eastAsia="en-US"/>
              </w:rPr>
              <w:t>erfgenaam en de erflater tot € 30.000 vrij te stellen om een grotere leefvormneutraliteit bij lagere verkrijgingen te bewerkstelligen en dit te financieren</w:t>
            </w:r>
          </w:p>
          <w:p w:rsidRPr="003E3073" w:rsidR="00EC62A1" w:rsidP="00EC62A1" w:rsidRDefault="00EC62A1">
            <w:pPr>
              <w:spacing w:line="240" w:lineRule="auto"/>
              <w:rPr>
                <w:rFonts w:eastAsia="Calibri" w:cs="Calibri"/>
                <w:szCs w:val="18"/>
                <w:lang w:eastAsia="en-US"/>
              </w:rPr>
            </w:pPr>
            <w:r w:rsidRPr="003E3073">
              <w:rPr>
                <w:rFonts w:eastAsia="Calibri" w:cs="Calibri"/>
                <w:szCs w:val="18"/>
                <w:lang w:eastAsia="en-US"/>
              </w:rPr>
              <w:t>uit de invoering van een extra tariefgroep voor zowel schenk- als erfbelasting met een 10%-punt hoger tarief. Een vrijstelling van erfbelasting van € 30.000 voor alle verkrijgers (met behoud van de hoge partnervrijstelling) leidt tot 42% minder belastingplichtigen voor de erfbelasting. Invoering van een extra tariefschijf bevordert de eenvoud niet.</w:t>
            </w:r>
          </w:p>
          <w:p w:rsidRPr="003E3073" w:rsidR="00EC62A1" w:rsidP="00EC62A1" w:rsidRDefault="00EC62A1">
            <w:pPr>
              <w:spacing w:line="240" w:lineRule="auto"/>
              <w:rPr>
                <w:rFonts w:eastAsia="Calibri" w:cs="Calibri"/>
                <w:szCs w:val="18"/>
                <w:lang w:eastAsia="en-US"/>
              </w:rPr>
            </w:pPr>
          </w:p>
          <w:p w:rsidRPr="003E3073" w:rsidR="00EC62A1" w:rsidP="00EC62A1" w:rsidRDefault="00EC62A1">
            <w:pPr>
              <w:spacing w:line="240" w:lineRule="auto"/>
              <w:rPr>
                <w:rFonts w:eastAsia="Calibri" w:cs="Calibri"/>
                <w:szCs w:val="18"/>
                <w:lang w:eastAsia="en-US"/>
              </w:rPr>
            </w:pPr>
            <w:r w:rsidRPr="003E3073">
              <w:rPr>
                <w:rFonts w:eastAsia="Calibri" w:cs="Calibri"/>
                <w:szCs w:val="18"/>
                <w:lang w:eastAsia="en-US"/>
              </w:rPr>
              <w:t>Kortom, een wijziging van de wijze waarop schenkingen en erfenissen afkomstig van alleenstaanden worden belast zou een fundamentele wijziging betekenen van de uitgangspunten die aan het huidige stelsel ten grondslag liggen. Bovendien zou het stelsel complexer worden en heeft een wijziging budgettaire implicaties. Het kabinet heeft daarom op dit moment geen voornemens voor een dergelijke wijziging van de schenk- en erfbelasting. In de fiscale beleids- en uitvoeringsagenda die de Staatssecretaris Fiscaliteit en Belastingdienst recent aan uw Kamer heeft doen toekomen, waarin wordt ingegaan op de nadere invulling van de prioriteiten van het kabinet voor uitvoering en beleid</w:t>
            </w:r>
            <w:r w:rsidRPr="003E3073" w:rsidR="004517CF">
              <w:rPr>
                <w:rStyle w:val="Voetnootmarkering"/>
                <w:rFonts w:eastAsia="Calibri" w:cs="Calibri"/>
                <w:szCs w:val="18"/>
                <w:lang w:eastAsia="en-US"/>
              </w:rPr>
              <w:footnoteReference w:id="5"/>
            </w:r>
            <w:r w:rsidRPr="003E3073">
              <w:rPr>
                <w:rFonts w:eastAsia="Calibri" w:cs="Calibri"/>
                <w:szCs w:val="18"/>
                <w:lang w:eastAsia="en-US"/>
              </w:rPr>
              <w:t>, is dit onderwerp ook niet opgenomen.</w:t>
            </w:r>
          </w:p>
          <w:p w:rsidRPr="003E3073" w:rsidR="0000726D" w:rsidP="00CF710A" w:rsidRDefault="0000726D">
            <w:pPr>
              <w:pStyle w:val="broodtekst"/>
              <w:rPr>
                <w:b/>
                <w:bCs/>
              </w:rPr>
            </w:pPr>
          </w:p>
          <w:p w:rsidRPr="003E3073" w:rsidR="00824940" w:rsidP="00CF710A" w:rsidRDefault="00824940">
            <w:pPr>
              <w:pStyle w:val="broodtekst"/>
              <w:rPr>
                <w:b/>
                <w:bCs/>
              </w:rPr>
            </w:pPr>
            <w:r w:rsidRPr="003E3073">
              <w:rPr>
                <w:b/>
                <w:bCs/>
              </w:rPr>
              <w:t>De legitieme portie in het erfrecht</w:t>
            </w:r>
          </w:p>
          <w:p w:rsidRPr="003E3073" w:rsidR="00824940" w:rsidP="00CF710A" w:rsidRDefault="00824940">
            <w:pPr>
              <w:pStyle w:val="broodtekst"/>
              <w:rPr>
                <w:b/>
                <w:bCs/>
              </w:rPr>
            </w:pPr>
          </w:p>
          <w:p w:rsidRPr="003E3073" w:rsidR="00A83587" w:rsidP="0051059D" w:rsidRDefault="00722E95">
            <w:pPr>
              <w:pStyle w:val="broodtekst"/>
            </w:pPr>
            <w:r w:rsidRPr="003E3073">
              <w:t xml:space="preserve">Over de wenselijkheid van de legitieme portie wordt in </w:t>
            </w:r>
            <w:r w:rsidRPr="003E3073" w:rsidR="004A2C11">
              <w:t xml:space="preserve">de juridische </w:t>
            </w:r>
            <w:r w:rsidRPr="003E3073" w:rsidR="008D63D8">
              <w:t xml:space="preserve">literatuur </w:t>
            </w:r>
            <w:r w:rsidRPr="003E3073" w:rsidR="0051059D">
              <w:t xml:space="preserve">al enige tijd </w:t>
            </w:r>
            <w:r w:rsidRPr="003E3073" w:rsidR="004A2C11">
              <w:t>gediscussieerd</w:t>
            </w:r>
            <w:r w:rsidRPr="003E3073" w:rsidR="00A705F8">
              <w:t>.</w:t>
            </w:r>
            <w:r w:rsidRPr="003E3073" w:rsidR="004A2C11">
              <w:t xml:space="preserve"> </w:t>
            </w:r>
            <w:r w:rsidRPr="003E3073" w:rsidR="00B20F7F">
              <w:t>In</w:t>
            </w:r>
            <w:r w:rsidRPr="003E3073" w:rsidR="004A2C11">
              <w:t xml:space="preserve"> de</w:t>
            </w:r>
            <w:r w:rsidRPr="003E3073" w:rsidR="00B20F7F">
              <w:t xml:space="preserve">cember </w:t>
            </w:r>
            <w:r w:rsidRPr="003E3073" w:rsidR="006A4B33">
              <w:t xml:space="preserve">2020 </w:t>
            </w:r>
            <w:r w:rsidRPr="003E3073" w:rsidR="00B20F7F">
              <w:t xml:space="preserve">hebben </w:t>
            </w:r>
            <w:r w:rsidRPr="003E3073" w:rsidR="006F1F82">
              <w:t xml:space="preserve">het CNR van </w:t>
            </w:r>
            <w:r w:rsidRPr="003E3073" w:rsidR="004A2C11">
              <w:t xml:space="preserve">de Radboud Universiteit en Netwerk Notarissen </w:t>
            </w:r>
            <w:r w:rsidRPr="003E3073" w:rsidR="00B20F7F">
              <w:t xml:space="preserve">een </w:t>
            </w:r>
            <w:r w:rsidRPr="003E3073" w:rsidR="00866D88">
              <w:t>onderzoeks</w:t>
            </w:r>
            <w:r w:rsidRPr="003E3073" w:rsidR="00B20F7F">
              <w:t xml:space="preserve">rapport </w:t>
            </w:r>
            <w:r w:rsidRPr="003E3073" w:rsidR="0051059D">
              <w:t xml:space="preserve">over de legitieme portie </w:t>
            </w:r>
            <w:r w:rsidRPr="003E3073" w:rsidR="00B20F7F">
              <w:t>uitgebracht</w:t>
            </w:r>
            <w:r w:rsidRPr="003E3073" w:rsidR="00866D88">
              <w:t>.</w:t>
            </w:r>
            <w:r w:rsidRPr="003E3073" w:rsidR="00B20F7F">
              <w:rPr>
                <w:rStyle w:val="Voetnootmarkering"/>
              </w:rPr>
              <w:footnoteReference w:id="6"/>
            </w:r>
            <w:r w:rsidRPr="003E3073" w:rsidR="006F1F82">
              <w:t xml:space="preserve"> He</w:t>
            </w:r>
            <w:r w:rsidRPr="003E3073" w:rsidR="004A2C11">
              <w:t>t rapport beoogt</w:t>
            </w:r>
            <w:r w:rsidRPr="003E3073" w:rsidR="006F1F82">
              <w:t>, zoals de onderzoekers het omschrijven,</w:t>
            </w:r>
            <w:r w:rsidRPr="003E3073" w:rsidR="004A2C11">
              <w:t xml:space="preserve"> een vertrekpunt te </w:t>
            </w:r>
            <w:r w:rsidRPr="003E3073" w:rsidR="006F1F82">
              <w:t xml:space="preserve">creëren </w:t>
            </w:r>
            <w:r w:rsidRPr="003E3073" w:rsidR="004A2C11">
              <w:t xml:space="preserve">voor nader onderzoek en de discussie over de legitieme portie levend te houden. </w:t>
            </w:r>
            <w:r w:rsidRPr="003E3073" w:rsidR="00B07A94">
              <w:t>Daartoe hebben de onderzoekers ook een website in het leven geroepen waarop de discussie kan worden voortgezet</w:t>
            </w:r>
            <w:r w:rsidRPr="003E3073" w:rsidR="00A83587">
              <w:t>.</w:t>
            </w:r>
            <w:r w:rsidRPr="003E3073" w:rsidR="00A83587">
              <w:rPr>
                <w:rStyle w:val="Voetnootmarkering"/>
              </w:rPr>
              <w:footnoteReference w:id="7"/>
            </w:r>
            <w:r w:rsidRPr="003E3073" w:rsidR="00B07A94">
              <w:t xml:space="preserve"> </w:t>
            </w:r>
          </w:p>
          <w:p w:rsidRPr="003E3073" w:rsidR="00627DEE" w:rsidP="00B0251F" w:rsidRDefault="006F1F82">
            <w:pPr>
              <w:pStyle w:val="broodtekst"/>
            </w:pPr>
            <w:r w:rsidRPr="003E3073">
              <w:t xml:space="preserve">Het </w:t>
            </w:r>
            <w:r w:rsidRPr="003E3073" w:rsidR="00866D88">
              <w:t>rapport</w:t>
            </w:r>
            <w:r w:rsidRPr="003E3073">
              <w:t xml:space="preserve"> </w:t>
            </w:r>
            <w:r w:rsidRPr="003E3073" w:rsidR="00866D88">
              <w:t xml:space="preserve">geeft </w:t>
            </w:r>
            <w:r w:rsidRPr="003E3073" w:rsidR="00934006">
              <w:t xml:space="preserve">de </w:t>
            </w:r>
            <w:r w:rsidRPr="003E3073" w:rsidR="007065B6">
              <w:t xml:space="preserve">onderzoeksresultaten </w:t>
            </w:r>
            <w:r w:rsidRPr="003E3073" w:rsidR="00866D88">
              <w:t xml:space="preserve">weer </w:t>
            </w:r>
            <w:r w:rsidRPr="003E3073" w:rsidR="007065B6">
              <w:t>van drie verschillende peilingen onder het Nederlandse publiek</w:t>
            </w:r>
            <w:r w:rsidRPr="003E3073" w:rsidR="00155D20">
              <w:t>, uitgesplitst naar diverse achtergrondkenmerken va</w:t>
            </w:r>
            <w:r w:rsidRPr="003E3073" w:rsidR="00866D88">
              <w:t>n</w:t>
            </w:r>
            <w:r w:rsidRPr="003E3073" w:rsidR="00155D20">
              <w:t xml:space="preserve"> de deelnemers</w:t>
            </w:r>
            <w:r w:rsidRPr="003E3073" w:rsidR="00866D88">
              <w:t>,</w:t>
            </w:r>
            <w:r w:rsidRPr="003E3073" w:rsidR="00155D20">
              <w:t xml:space="preserve"> en een peili</w:t>
            </w:r>
            <w:r w:rsidRPr="003E3073" w:rsidR="00934006">
              <w:t>n</w:t>
            </w:r>
            <w:r w:rsidRPr="003E3073" w:rsidR="00155D20">
              <w:t>g</w:t>
            </w:r>
            <w:r w:rsidRPr="003E3073" w:rsidR="00934006">
              <w:t xml:space="preserve"> onder </w:t>
            </w:r>
            <w:r w:rsidRPr="003E3073" w:rsidR="00B07A94">
              <w:t xml:space="preserve">juridische </w:t>
            </w:r>
            <w:r w:rsidRPr="003E3073" w:rsidR="00934006">
              <w:t>professionals, zowel in hu</w:t>
            </w:r>
            <w:r w:rsidRPr="003E3073" w:rsidR="00866D88">
              <w:t xml:space="preserve">n </w:t>
            </w:r>
            <w:r w:rsidRPr="003E3073" w:rsidR="00D873DA">
              <w:t>professionele</w:t>
            </w:r>
            <w:r w:rsidRPr="003E3073" w:rsidR="007F1BE3">
              <w:t xml:space="preserve"> </w:t>
            </w:r>
            <w:r w:rsidRPr="003E3073" w:rsidR="00866D88">
              <w:t xml:space="preserve">hoedanigheid als </w:t>
            </w:r>
            <w:r w:rsidRPr="003E3073" w:rsidR="0051059D">
              <w:t xml:space="preserve">in </w:t>
            </w:r>
            <w:r w:rsidRPr="003E3073" w:rsidR="00866D88">
              <w:t>privépersoon. Daarnaast bevat het rapport</w:t>
            </w:r>
            <w:r w:rsidRPr="003E3073" w:rsidR="007065B6">
              <w:t xml:space="preserve"> </w:t>
            </w:r>
            <w:r w:rsidRPr="003E3073" w:rsidR="00934006">
              <w:t>achtergrondinformatie over de legitieme portie aangevuld met een</w:t>
            </w:r>
            <w:r w:rsidRPr="003E3073" w:rsidR="00627DEE">
              <w:t xml:space="preserve"> </w:t>
            </w:r>
            <w:r w:rsidRPr="003E3073" w:rsidR="00B0251F">
              <w:t xml:space="preserve">overzicht </w:t>
            </w:r>
            <w:r w:rsidRPr="003E3073" w:rsidR="00627DEE">
              <w:t xml:space="preserve">van de parlementaire geschiedenis en een </w:t>
            </w:r>
            <w:r w:rsidRPr="003E3073" w:rsidR="00B0251F">
              <w:t xml:space="preserve">analyse </w:t>
            </w:r>
            <w:r w:rsidRPr="003E3073" w:rsidR="00627DEE">
              <w:t>van de opvattingen in de ju</w:t>
            </w:r>
            <w:r w:rsidRPr="003E3073" w:rsidR="00866D88">
              <w:t>ridische literatuur. Het rapport sluit af met d</w:t>
            </w:r>
            <w:r w:rsidRPr="003E3073" w:rsidR="00627DEE">
              <w:t xml:space="preserve">e aanbeveling </w:t>
            </w:r>
            <w:r w:rsidRPr="003E3073" w:rsidR="00866D88">
              <w:t xml:space="preserve">om </w:t>
            </w:r>
            <w:r w:rsidRPr="003E3073" w:rsidR="00627DEE">
              <w:t>de legitieme portie</w:t>
            </w:r>
            <w:r w:rsidRPr="003E3073" w:rsidR="00866D88">
              <w:t xml:space="preserve"> in de huidige vorm</w:t>
            </w:r>
            <w:r w:rsidRPr="003E3073" w:rsidR="00627DEE">
              <w:t xml:space="preserve"> af te schaffen onder handhaving van </w:t>
            </w:r>
            <w:r w:rsidRPr="003E3073" w:rsidR="00F62004">
              <w:t>de regeling</w:t>
            </w:r>
            <w:r w:rsidRPr="003E3073" w:rsidR="00627DEE">
              <w:t xml:space="preserve"> </w:t>
            </w:r>
            <w:r w:rsidRPr="003E3073" w:rsidR="00CC68B3">
              <w:t xml:space="preserve">die </w:t>
            </w:r>
            <w:r w:rsidRPr="003E3073" w:rsidR="00627DEE">
              <w:t>minderjarigen en jongmeerderjarigen be</w:t>
            </w:r>
            <w:r w:rsidRPr="003E3073" w:rsidR="00A83587">
              <w:t>scherm</w:t>
            </w:r>
            <w:r w:rsidRPr="003E3073" w:rsidR="008D63D8">
              <w:t>ing bied</w:t>
            </w:r>
            <w:r w:rsidRPr="003E3073" w:rsidR="00A83587">
              <w:t>t op het vlak van kosten va</w:t>
            </w:r>
            <w:r w:rsidRPr="003E3073" w:rsidR="00627DEE">
              <w:t xml:space="preserve">n verzorging en opvoeding, levensonderhoud en studie bij het overlijden van een ouder. </w:t>
            </w:r>
          </w:p>
          <w:p w:rsidRPr="003E3073" w:rsidR="00627DEE" w:rsidP="00CF710A" w:rsidRDefault="00627DEE">
            <w:pPr>
              <w:pStyle w:val="broodtekst"/>
            </w:pPr>
          </w:p>
          <w:p w:rsidRPr="003E3073" w:rsidR="004E3567" w:rsidP="00180DCF" w:rsidRDefault="00EE5BAE">
            <w:pPr>
              <w:pStyle w:val="broodtekst"/>
            </w:pPr>
            <w:r w:rsidRPr="003E3073">
              <w:t xml:space="preserve">De discussie over </w:t>
            </w:r>
            <w:r w:rsidRPr="003E3073" w:rsidR="004E3567">
              <w:t xml:space="preserve">het bestaansrecht van </w:t>
            </w:r>
            <w:r w:rsidRPr="003E3073">
              <w:t>d</w:t>
            </w:r>
            <w:r w:rsidRPr="003E3073" w:rsidR="00687917">
              <w:t>e legitieme portie</w:t>
            </w:r>
            <w:r w:rsidRPr="003E3073">
              <w:t xml:space="preserve">, zo </w:t>
            </w:r>
            <w:r w:rsidRPr="003E3073" w:rsidR="0003789F">
              <w:t>blijkt</w:t>
            </w:r>
            <w:r w:rsidRPr="003E3073">
              <w:t xml:space="preserve"> ook uit het rapport, is vooral principieel van aard, omdat aan de (on)wenselijkheid van de legitieme portie </w:t>
            </w:r>
            <w:r w:rsidRPr="003E3073" w:rsidR="00687917">
              <w:t xml:space="preserve">sterke rechtsovertuigingen ten grondslag liggen. </w:t>
            </w:r>
            <w:r w:rsidRPr="003E3073" w:rsidR="00804F7B">
              <w:t>Er bestaan krachtige argumenten voor afschaffing van de legitieme portie, maar daartegenover k</w:t>
            </w:r>
            <w:r w:rsidRPr="003E3073" w:rsidR="00146B65">
              <w:t xml:space="preserve">unnen ook </w:t>
            </w:r>
            <w:r w:rsidRPr="003E3073" w:rsidR="00180DCF">
              <w:t xml:space="preserve">diep gevoelde </w:t>
            </w:r>
            <w:r w:rsidRPr="003E3073" w:rsidR="00146B65">
              <w:t>argumente</w:t>
            </w:r>
            <w:r w:rsidRPr="003E3073" w:rsidR="00804F7B">
              <w:t>n</w:t>
            </w:r>
            <w:r w:rsidRPr="003E3073" w:rsidR="00146B65">
              <w:t xml:space="preserve"> naar voren worden gebracht ter </w:t>
            </w:r>
            <w:r w:rsidRPr="003E3073" w:rsidR="00804F7B">
              <w:t xml:space="preserve">rechtvaardiging </w:t>
            </w:r>
            <w:r w:rsidRPr="003E3073" w:rsidR="00180DCF">
              <w:t xml:space="preserve">van </w:t>
            </w:r>
            <w:r w:rsidRPr="003E3073" w:rsidR="00804F7B">
              <w:t>het bestaansrecht van de legitieme port</w:t>
            </w:r>
            <w:r w:rsidRPr="003E3073" w:rsidR="001D2D0D">
              <w:t>ie.</w:t>
            </w:r>
          </w:p>
          <w:p w:rsidRPr="003E3073" w:rsidR="004E3567" w:rsidP="00CF710A" w:rsidRDefault="004E3567">
            <w:pPr>
              <w:pStyle w:val="broodtekst"/>
            </w:pPr>
          </w:p>
          <w:p w:rsidRPr="003E3073" w:rsidR="00804F7B" w:rsidP="0062646F" w:rsidRDefault="00ED1578">
            <w:pPr>
              <w:pStyle w:val="broodtekst"/>
            </w:pPr>
            <w:r w:rsidRPr="003E3073">
              <w:t>Zo staat t</w:t>
            </w:r>
            <w:r w:rsidRPr="003E3073" w:rsidR="00DD09A1">
              <w:t>egenover de principiële rechtsovertuiging dat iedere erflater zonder wettelijke beperkingen moet kunnen bepalen aan wi</w:t>
            </w:r>
            <w:r w:rsidRPr="003E3073" w:rsidR="00B80B12">
              <w:t xml:space="preserve">e hij zijn </w:t>
            </w:r>
            <w:r w:rsidRPr="003E3073" w:rsidR="00AD2C23">
              <w:t xml:space="preserve">gehele </w:t>
            </w:r>
            <w:r w:rsidRPr="003E3073" w:rsidR="00B80B12">
              <w:t>vermogen nalaat,</w:t>
            </w:r>
            <w:r w:rsidRPr="003E3073" w:rsidR="00DD09A1">
              <w:t xml:space="preserve"> de eveneens principiële rechtsovertuiging dat de legitieme portie samenhangt met het bijzondere karakter van de afstammingsband tussen ouders en hun kinderen. </w:t>
            </w:r>
            <w:r w:rsidRPr="003E3073" w:rsidR="008E7FD9">
              <w:t>Voorstanders van afschaffing van de legitieme portie</w:t>
            </w:r>
            <w:r w:rsidRPr="003E3073" w:rsidR="008D63D8">
              <w:t xml:space="preserve"> wijzen op de maatschappelijke veranderingen in de samenleving waar</w:t>
            </w:r>
            <w:r w:rsidRPr="003E3073" w:rsidR="00CE35C3">
              <w:t>in</w:t>
            </w:r>
            <w:r w:rsidRPr="003E3073" w:rsidR="0062646F">
              <w:t xml:space="preserve"> </w:t>
            </w:r>
            <w:r w:rsidRPr="003E3073" w:rsidR="00B80B12">
              <w:t>familiebanden</w:t>
            </w:r>
            <w:r w:rsidRPr="003E3073" w:rsidR="00CE35C3">
              <w:t xml:space="preserve"> </w:t>
            </w:r>
            <w:r w:rsidRPr="003E3073" w:rsidR="00B80B12">
              <w:t xml:space="preserve">steeds losser </w:t>
            </w:r>
            <w:r w:rsidRPr="003E3073" w:rsidR="0062646F">
              <w:t xml:space="preserve">zouden </w:t>
            </w:r>
            <w:r w:rsidRPr="003E3073" w:rsidR="00B80B12">
              <w:t>worden</w:t>
            </w:r>
            <w:r w:rsidRPr="003E3073" w:rsidR="008D63D8">
              <w:t>. Of</w:t>
            </w:r>
            <w:r w:rsidRPr="003E3073" w:rsidR="0062646F">
              <w:t xml:space="preserve"> </w:t>
            </w:r>
            <w:r w:rsidRPr="003E3073" w:rsidR="008D63D8">
              <w:t xml:space="preserve">dit ook </w:t>
            </w:r>
            <w:r w:rsidRPr="003E3073" w:rsidR="00CE35C3">
              <w:t>het geval is</w:t>
            </w:r>
            <w:r w:rsidRPr="003E3073" w:rsidR="008D63D8">
              <w:t xml:space="preserve"> voor de band tussen ouder en kind is </w:t>
            </w:r>
            <w:r w:rsidRPr="003E3073" w:rsidR="00CE35C3">
              <w:t xml:space="preserve">echter </w:t>
            </w:r>
            <w:r w:rsidRPr="003E3073" w:rsidR="008D63D8">
              <w:t>onduidelijk. De</w:t>
            </w:r>
            <w:r w:rsidRPr="003E3073" w:rsidR="008E7FD9">
              <w:t xml:space="preserve"> legitieme portie </w:t>
            </w:r>
            <w:r w:rsidRPr="003E3073" w:rsidR="00CE35C3">
              <w:t>bescherm</w:t>
            </w:r>
            <w:r w:rsidRPr="003E3073" w:rsidR="0062646F">
              <w:t>t deze band</w:t>
            </w:r>
            <w:r w:rsidRPr="003E3073" w:rsidR="00A95EE7">
              <w:t xml:space="preserve">, doordat de legitieme portie beïnvloeding door derden ten nadele van de kinderen </w:t>
            </w:r>
            <w:r w:rsidRPr="003E3073" w:rsidR="009301D4">
              <w:t xml:space="preserve">van de erflater </w:t>
            </w:r>
            <w:r w:rsidRPr="003E3073" w:rsidR="00A95EE7">
              <w:t>beperkt en een zekere gelijkheid van bevoordeling van d</w:t>
            </w:r>
            <w:r w:rsidRPr="003E3073" w:rsidR="009301D4">
              <w:t>i</w:t>
            </w:r>
            <w:r w:rsidRPr="003E3073" w:rsidR="00A95EE7">
              <w:t>e</w:t>
            </w:r>
            <w:r w:rsidRPr="003E3073" w:rsidR="009301D4">
              <w:t>ns</w:t>
            </w:r>
            <w:r w:rsidRPr="003E3073" w:rsidR="007F1994">
              <w:t xml:space="preserve"> kinderen </w:t>
            </w:r>
            <w:r w:rsidRPr="003E3073" w:rsidR="00A95EE7">
              <w:t>bevordert</w:t>
            </w:r>
            <w:r w:rsidRPr="003E3073" w:rsidR="008E7FD9">
              <w:t xml:space="preserve">, bijvoorbeeld </w:t>
            </w:r>
            <w:r w:rsidRPr="003E3073" w:rsidR="00A95EE7">
              <w:t xml:space="preserve">voor </w:t>
            </w:r>
            <w:r w:rsidRPr="003E3073" w:rsidR="008E7FD9">
              <w:t xml:space="preserve">kinderen die zijn geboren uit het eerste huwelijk van de erflater </w:t>
            </w:r>
            <w:r w:rsidRPr="003E3073" w:rsidR="002169FC">
              <w:t xml:space="preserve">en worden onterfd ten gunste van de kinderen uit </w:t>
            </w:r>
            <w:r w:rsidRPr="003E3073" w:rsidR="00FB30E2">
              <w:t>een volgend</w:t>
            </w:r>
            <w:r w:rsidRPr="003E3073" w:rsidR="002169FC">
              <w:t xml:space="preserve"> huwelijk van de erflater. </w:t>
            </w:r>
            <w:r w:rsidRPr="003E3073" w:rsidR="0095689E">
              <w:t>De erflater heeft de vrijheid om een of meer kinderen te onterven ten gunste van zijn andere kinderen of derden, maar deze vrijheid i</w:t>
            </w:r>
            <w:r w:rsidRPr="003E3073" w:rsidR="002169FC">
              <w:t xml:space="preserve">s </w:t>
            </w:r>
            <w:r w:rsidRPr="003E3073" w:rsidR="007F1994">
              <w:t xml:space="preserve">in het huidige erfrecht </w:t>
            </w:r>
            <w:r w:rsidRPr="003E3073" w:rsidR="002169FC">
              <w:t xml:space="preserve">begrensd tot </w:t>
            </w:r>
            <w:r w:rsidRPr="003E3073" w:rsidR="007F1994">
              <w:t>een</w:t>
            </w:r>
            <w:r w:rsidRPr="003E3073" w:rsidR="002169FC">
              <w:t xml:space="preserve"> minimumaanspraak</w:t>
            </w:r>
            <w:r w:rsidRPr="003E3073" w:rsidR="003F2F76">
              <w:t xml:space="preserve"> voor de afstammelingen van de erflater</w:t>
            </w:r>
            <w:r w:rsidRPr="003E3073" w:rsidR="002169FC">
              <w:t>. D</w:t>
            </w:r>
            <w:r w:rsidRPr="003E3073" w:rsidR="003F2F76">
              <w:t>eze aanspraak</w:t>
            </w:r>
            <w:r w:rsidRPr="003E3073" w:rsidR="0062646F">
              <w:t>,</w:t>
            </w:r>
            <w:r w:rsidRPr="003E3073" w:rsidR="002169FC">
              <w:t xml:space="preserve"> </w:t>
            </w:r>
            <w:r w:rsidRPr="003E3073" w:rsidR="00506BFE">
              <w:t>d</w:t>
            </w:r>
            <w:r w:rsidRPr="003E3073" w:rsidR="0095689E">
              <w:t>i</w:t>
            </w:r>
            <w:r w:rsidRPr="003E3073" w:rsidR="00506BFE">
              <w:t>e</w:t>
            </w:r>
            <w:r w:rsidRPr="003E3073" w:rsidR="007F1994">
              <w:t xml:space="preserve"> ten opzichte van het erfrecht van vóór 2003 </w:t>
            </w:r>
            <w:r w:rsidRPr="003E3073" w:rsidR="0095689E">
              <w:t>beh</w:t>
            </w:r>
            <w:r w:rsidRPr="003E3073" w:rsidR="003F2F76">
              <w:t>oor</w:t>
            </w:r>
            <w:r w:rsidRPr="003E3073" w:rsidR="0095689E">
              <w:t xml:space="preserve">lijk </w:t>
            </w:r>
            <w:r w:rsidRPr="003E3073" w:rsidR="00506BFE">
              <w:t xml:space="preserve">is </w:t>
            </w:r>
            <w:r w:rsidRPr="003E3073" w:rsidR="0095689E">
              <w:t>afgezwakt</w:t>
            </w:r>
            <w:r w:rsidRPr="003E3073" w:rsidR="007F1994">
              <w:t xml:space="preserve">, kan </w:t>
            </w:r>
            <w:r w:rsidRPr="003E3073" w:rsidR="00A95EE7">
              <w:t xml:space="preserve">volgens </w:t>
            </w:r>
            <w:r w:rsidRPr="003E3073" w:rsidR="00E70542">
              <w:t xml:space="preserve">de </w:t>
            </w:r>
            <w:r w:rsidRPr="003E3073" w:rsidR="00FB30E2">
              <w:t xml:space="preserve">voorstanders van behoud van de legitieme portie </w:t>
            </w:r>
            <w:r w:rsidRPr="003E3073" w:rsidR="007F1994">
              <w:t xml:space="preserve">in emotionele zin </w:t>
            </w:r>
            <w:r w:rsidRPr="003E3073" w:rsidR="002169FC">
              <w:t xml:space="preserve">worden gezien als </w:t>
            </w:r>
            <w:r w:rsidRPr="003E3073" w:rsidR="00AD2C23">
              <w:t xml:space="preserve">een </w:t>
            </w:r>
            <w:r w:rsidRPr="003E3073" w:rsidR="007F1994">
              <w:t xml:space="preserve">verzachting voor het leed dat </w:t>
            </w:r>
            <w:r w:rsidRPr="003E3073" w:rsidR="002169FC">
              <w:t xml:space="preserve">een kind </w:t>
            </w:r>
            <w:r w:rsidRPr="003E3073" w:rsidR="007F1994">
              <w:t>bij onterv</w:t>
            </w:r>
            <w:r w:rsidRPr="003E3073" w:rsidR="002169FC">
              <w:t>in</w:t>
            </w:r>
            <w:r w:rsidRPr="003E3073" w:rsidR="007F1994">
              <w:t xml:space="preserve">g </w:t>
            </w:r>
            <w:r w:rsidRPr="003E3073" w:rsidR="002709F4">
              <w:t xml:space="preserve">door een van zijn ouders </w:t>
            </w:r>
            <w:r w:rsidRPr="003E3073" w:rsidR="007F1994">
              <w:t>kan ervaren.</w:t>
            </w:r>
            <w:r w:rsidRPr="003E3073" w:rsidR="009301D4">
              <w:rPr>
                <w:rStyle w:val="Voetnootmarkering"/>
              </w:rPr>
              <w:footnoteReference w:id="8"/>
            </w:r>
            <w:r w:rsidRPr="003E3073" w:rsidR="007F1994">
              <w:t xml:space="preserve"> </w:t>
            </w:r>
            <w:r w:rsidRPr="003E3073" w:rsidR="00AD2C23">
              <w:t xml:space="preserve">De maatschappelijke, sociologische en psychologische gevolgen </w:t>
            </w:r>
            <w:r w:rsidRPr="003E3073" w:rsidR="002417E0">
              <w:t>zouden ook in</w:t>
            </w:r>
            <w:r w:rsidRPr="003E3073" w:rsidR="00E70542">
              <w:t xml:space="preserve"> </w:t>
            </w:r>
            <w:r w:rsidRPr="003E3073" w:rsidR="009301D4">
              <w:t>discussies</w:t>
            </w:r>
            <w:r w:rsidRPr="003E3073" w:rsidR="002417E0">
              <w:t xml:space="preserve"> </w:t>
            </w:r>
            <w:r w:rsidRPr="003E3073" w:rsidR="00AD2C23">
              <w:t>over de (on)wenselijkheid van de legitieme portie</w:t>
            </w:r>
            <w:r w:rsidRPr="003E3073" w:rsidR="002417E0">
              <w:t xml:space="preserve"> moeten worden betrokken</w:t>
            </w:r>
            <w:r w:rsidRPr="003E3073" w:rsidR="00AD2C23">
              <w:t xml:space="preserve">. </w:t>
            </w:r>
          </w:p>
          <w:p w:rsidRPr="003E3073" w:rsidR="00804F7B" w:rsidP="00CF710A" w:rsidRDefault="00804F7B">
            <w:pPr>
              <w:pStyle w:val="broodtekst"/>
            </w:pPr>
          </w:p>
          <w:p w:rsidRPr="003E3073" w:rsidR="00C80910" w:rsidP="006647C8" w:rsidRDefault="00745A6B">
            <w:pPr>
              <w:pStyle w:val="broodtekst"/>
            </w:pPr>
            <w:r w:rsidRPr="003E3073">
              <w:t xml:space="preserve">In de discussie over de legitieme portie komt ook de vraag naar de verzorgingsplicht van ouders jegens hun kinderen aan de orde. Voorstanders van </w:t>
            </w:r>
            <w:r w:rsidRPr="003E3073" w:rsidR="00FF7BE6">
              <w:t xml:space="preserve">afschaffing van de legitieme portie </w:t>
            </w:r>
            <w:r w:rsidRPr="003E3073">
              <w:t xml:space="preserve">menen </w:t>
            </w:r>
            <w:r w:rsidRPr="003E3073" w:rsidR="00FF7BE6">
              <w:t>dat buiten de verplichting van ouders tot het verstrekken van levensonderhoud en tot verschaffing van middelen om een passende opleiding te volgen</w:t>
            </w:r>
            <w:r w:rsidRPr="003E3073" w:rsidR="0062646F">
              <w:t>,</w:t>
            </w:r>
            <w:r w:rsidRPr="003E3073">
              <w:t xml:space="preserve"> </w:t>
            </w:r>
            <w:r w:rsidRPr="003E3073" w:rsidR="00FF7BE6">
              <w:t xml:space="preserve">geen financiële aanspraak op ouders </w:t>
            </w:r>
            <w:r w:rsidRPr="003E3073" w:rsidR="007F1BE3">
              <w:t xml:space="preserve">na het eenentwintigste levensjaar </w:t>
            </w:r>
            <w:r w:rsidRPr="003E3073" w:rsidR="00FF7BE6">
              <w:t xml:space="preserve">mogelijk behoort te zijn. </w:t>
            </w:r>
            <w:r w:rsidRPr="003E3073">
              <w:t xml:space="preserve">Daaraan kan worden toegevoegd dat met </w:t>
            </w:r>
            <w:r w:rsidRPr="003E3073" w:rsidR="00C80910">
              <w:t>het stijgen van de</w:t>
            </w:r>
            <w:r w:rsidRPr="003E3073">
              <w:t xml:space="preserve"> levensverwachting ook kinderen bij het overlijden van hun vader </w:t>
            </w:r>
            <w:r w:rsidRPr="003E3073" w:rsidR="00C80910">
              <w:t xml:space="preserve">of moeder </w:t>
            </w:r>
            <w:r w:rsidRPr="003E3073">
              <w:t xml:space="preserve">steeds ouder worden, waardoor van een verzorgingsbehoefte van de kinderen </w:t>
            </w:r>
            <w:r w:rsidRPr="003E3073" w:rsidR="00C80910">
              <w:t xml:space="preserve">veelal </w:t>
            </w:r>
            <w:r w:rsidRPr="003E3073">
              <w:t xml:space="preserve">geen </w:t>
            </w:r>
            <w:r w:rsidRPr="003E3073" w:rsidR="00E70542">
              <w:t xml:space="preserve">meer </w:t>
            </w:r>
            <w:r w:rsidRPr="003E3073">
              <w:t>sprake is.</w:t>
            </w:r>
            <w:r w:rsidRPr="003E3073" w:rsidR="00557F8F">
              <w:rPr>
                <w:rStyle w:val="Voetnootmarkering"/>
              </w:rPr>
              <w:footnoteReference w:id="9"/>
            </w:r>
            <w:r w:rsidRPr="003E3073">
              <w:t xml:space="preserve"> </w:t>
            </w:r>
            <w:r w:rsidRPr="003E3073" w:rsidR="00C80910">
              <w:t xml:space="preserve">Tegen deze achtergrond stellen de onderzoekers voor om bij afschaffing van de legitieme portie, de effectiviteit van de bestaande, op maat gesneden aanspraken van kinderen van de erflater voor zover nodig voor hun verzorging en opvoeding, levensonderhoud </w:t>
            </w:r>
            <w:r w:rsidRPr="003E3073" w:rsidR="006647C8">
              <w:t xml:space="preserve">en </w:t>
            </w:r>
            <w:r w:rsidRPr="003E3073" w:rsidR="00C80910">
              <w:t>studie te versterken.</w:t>
            </w:r>
            <w:r w:rsidRPr="003E3073" w:rsidR="009510DF">
              <w:t xml:space="preserve"> Deze aanbeveling van de onderzoekers is van belang voor de discussie over eventuele afschaffing of wijziging van de legitieme portie in zijn huidige vorm. </w:t>
            </w:r>
            <w:r w:rsidRPr="003E3073" w:rsidR="008112D1">
              <w:t>D</w:t>
            </w:r>
            <w:r w:rsidRPr="003E3073" w:rsidR="00FB30E2">
              <w:t xml:space="preserve">e vraag </w:t>
            </w:r>
            <w:r w:rsidRPr="003E3073" w:rsidR="008112D1">
              <w:t>ó</w:t>
            </w:r>
            <w:r w:rsidRPr="003E3073" w:rsidR="00B0193E">
              <w:t xml:space="preserve">f </w:t>
            </w:r>
            <w:r w:rsidRPr="003E3073" w:rsidR="008112D1">
              <w:t>hiertoe</w:t>
            </w:r>
            <w:r w:rsidRPr="003E3073" w:rsidR="009767B6">
              <w:t xml:space="preserve"> </w:t>
            </w:r>
            <w:r w:rsidRPr="003E3073" w:rsidR="00B0193E">
              <w:t>moet worden overgegaan</w:t>
            </w:r>
            <w:r w:rsidRPr="003E3073" w:rsidR="008112D1">
              <w:t xml:space="preserve">, </w:t>
            </w:r>
            <w:r w:rsidRPr="003E3073" w:rsidR="009767B6">
              <w:t xml:space="preserve">komt </w:t>
            </w:r>
            <w:r w:rsidRPr="003E3073" w:rsidR="00CC68B3">
              <w:t xml:space="preserve">echter </w:t>
            </w:r>
            <w:r w:rsidRPr="003E3073" w:rsidR="000C7AAC">
              <w:t xml:space="preserve">in wezen </w:t>
            </w:r>
            <w:r w:rsidRPr="003E3073" w:rsidR="009767B6">
              <w:t>neer op de vraag</w:t>
            </w:r>
            <w:r w:rsidRPr="003E3073" w:rsidR="002A123D">
              <w:t xml:space="preserve"> hoe men</w:t>
            </w:r>
            <w:r w:rsidRPr="003E3073" w:rsidR="008112D1">
              <w:t xml:space="preserve"> in de samenleving</w:t>
            </w:r>
            <w:r w:rsidRPr="003E3073" w:rsidR="002A123D">
              <w:t xml:space="preserve"> aankijkt tegen de familierechtelijke </w:t>
            </w:r>
            <w:r w:rsidRPr="003E3073" w:rsidR="00306E68">
              <w:t>band</w:t>
            </w:r>
            <w:r w:rsidRPr="003E3073" w:rsidR="002A123D">
              <w:t xml:space="preserve"> tussen ouder en kind</w:t>
            </w:r>
            <w:r w:rsidRPr="003E3073" w:rsidR="00B75F92">
              <w:t xml:space="preserve"> en de overtuiging dat kinderen de natuurlijke erfopvolgers van hun ouders zijn en daarmee in ieder geval een deel van de erfenis aan de afstammelingen van de erflater toekomt (v</w:t>
            </w:r>
            <w:r w:rsidRPr="003E3073" w:rsidR="006647C8">
              <w:t>er</w:t>
            </w:r>
            <w:r w:rsidRPr="003E3073" w:rsidR="00B75F92">
              <w:t>g</w:t>
            </w:r>
            <w:r w:rsidRPr="003E3073" w:rsidR="006647C8">
              <w:t>e</w:t>
            </w:r>
            <w:r w:rsidRPr="003E3073" w:rsidR="00B75F92">
              <w:t>l</w:t>
            </w:r>
            <w:r w:rsidRPr="003E3073" w:rsidR="006647C8">
              <w:t>ijk</w:t>
            </w:r>
            <w:r w:rsidRPr="003E3073" w:rsidR="00B75F92">
              <w:t xml:space="preserve"> de verwachtingswaarde ‘het is al van ons’)</w:t>
            </w:r>
            <w:r w:rsidRPr="003E3073" w:rsidR="002A123D">
              <w:t>.</w:t>
            </w:r>
          </w:p>
          <w:p w:rsidRPr="003E3073" w:rsidR="00C80910" w:rsidP="00CF710A" w:rsidRDefault="00C80910">
            <w:pPr>
              <w:pStyle w:val="broodtekst"/>
            </w:pPr>
          </w:p>
          <w:p w:rsidRPr="003E3073" w:rsidR="005D3D1B" w:rsidP="000E5518" w:rsidRDefault="00B0193E">
            <w:pPr>
              <w:pStyle w:val="broodtekst"/>
            </w:pPr>
            <w:r w:rsidRPr="003E3073">
              <w:t>U</w:t>
            </w:r>
            <w:r w:rsidRPr="003E3073" w:rsidR="005D3D1B">
              <w:t xml:space="preserve">it </w:t>
            </w:r>
            <w:r w:rsidRPr="003E3073" w:rsidR="00306E68">
              <w:t>het rapport van de onderzoekers</w:t>
            </w:r>
            <w:r w:rsidRPr="003E3073">
              <w:t xml:space="preserve"> volgt</w:t>
            </w:r>
            <w:r w:rsidRPr="003E3073" w:rsidR="005B35D4">
              <w:t xml:space="preserve"> </w:t>
            </w:r>
            <w:r w:rsidRPr="003E3073" w:rsidR="005D3D1B">
              <w:t xml:space="preserve">dat </w:t>
            </w:r>
            <w:r w:rsidRPr="003E3073" w:rsidR="0062646F">
              <w:t xml:space="preserve">in bepaalde juridische beroepsgroepen een grote meerderheid </w:t>
            </w:r>
            <w:r w:rsidRPr="003E3073" w:rsidR="005D3D1B">
              <w:t xml:space="preserve">voor afschaffing van de legitieme portie </w:t>
            </w:r>
            <w:r w:rsidRPr="003E3073" w:rsidR="00CC68B3">
              <w:t>bestaat</w:t>
            </w:r>
            <w:r w:rsidRPr="003E3073" w:rsidR="005D3D1B">
              <w:t xml:space="preserve">. Dit geldt vooral voor (kandidaat-)notarissen </w:t>
            </w:r>
            <w:r w:rsidRPr="003E3073" w:rsidR="00B75F92">
              <w:t xml:space="preserve">en andere juridische professionals, zoals fiscaal adviseurs </w:t>
            </w:r>
            <w:r w:rsidRPr="003E3073" w:rsidR="000E5518">
              <w:t>(</w:t>
            </w:r>
            <w:r w:rsidRPr="003E3073" w:rsidR="005D3D1B">
              <w:t xml:space="preserve">76% </w:t>
            </w:r>
            <w:r w:rsidRPr="003E3073" w:rsidR="00B75F92">
              <w:t xml:space="preserve">respectievelijk 69% </w:t>
            </w:r>
            <w:r w:rsidRPr="003E3073" w:rsidR="000E5518">
              <w:t xml:space="preserve">is </w:t>
            </w:r>
            <w:r w:rsidRPr="003E3073" w:rsidR="005D3D1B">
              <w:t>tegen (ongewijzigde) handhaving van de legitieme portie</w:t>
            </w:r>
            <w:r w:rsidRPr="003E3073" w:rsidR="00B75F92">
              <w:t>)</w:t>
            </w:r>
            <w:r w:rsidRPr="003E3073" w:rsidR="005D3D1B">
              <w:t xml:space="preserve">. Opvallend is </w:t>
            </w:r>
            <w:r w:rsidRPr="003E3073" w:rsidR="00DE647F">
              <w:t>dat dit percentage onder advocaten veel lager is (30%)</w:t>
            </w:r>
            <w:r w:rsidRPr="003E3073" w:rsidR="005D3D1B">
              <w:t>.</w:t>
            </w:r>
            <w:r w:rsidRPr="003E3073" w:rsidR="000E5518">
              <w:rPr>
                <w:rStyle w:val="Voetnootmarkering"/>
              </w:rPr>
              <w:footnoteReference w:id="10"/>
            </w:r>
            <w:r w:rsidRPr="003E3073" w:rsidR="005D3D1B">
              <w:t xml:space="preserve"> Een verklaring hiervoor kan zijn dat (kandidaat-)notarissen en andere professionals in hun beroepsuitoefening vooral te maken krijgen met erflaters die bij testament een of meer kinderen willen onterven, terwijl advocaten vaker onterfde kinderen bijstaan bij het te gelde maken van hun aanspraak op de legitieme portie. </w:t>
            </w:r>
            <w:r w:rsidRPr="003E3073" w:rsidR="00BB0B0F">
              <w:br/>
            </w:r>
          </w:p>
          <w:p w:rsidRPr="003E3073" w:rsidR="00FF7BE6" w:rsidP="0062646F" w:rsidRDefault="005D3D1B">
            <w:pPr>
              <w:pStyle w:val="broodtekst"/>
            </w:pPr>
            <w:r w:rsidRPr="003E3073">
              <w:t xml:space="preserve">Het percentage </w:t>
            </w:r>
            <w:r w:rsidRPr="003E3073" w:rsidR="002D061D">
              <w:t>onder</w:t>
            </w:r>
            <w:r w:rsidRPr="003E3073">
              <w:t xml:space="preserve"> </w:t>
            </w:r>
            <w:r w:rsidRPr="003E3073" w:rsidR="002D061D">
              <w:t xml:space="preserve">het Nederlandse publiek dat </w:t>
            </w:r>
            <w:r w:rsidRPr="003E3073">
              <w:t xml:space="preserve">aan </w:t>
            </w:r>
            <w:r w:rsidRPr="003E3073" w:rsidR="002D061D">
              <w:t xml:space="preserve">het </w:t>
            </w:r>
            <w:r w:rsidRPr="003E3073">
              <w:t xml:space="preserve">onderzoek </w:t>
            </w:r>
            <w:r w:rsidRPr="003E3073" w:rsidR="002D061D">
              <w:t>heeft deelgenomen</w:t>
            </w:r>
            <w:r w:rsidRPr="003E3073" w:rsidR="0062646F">
              <w:t>,</w:t>
            </w:r>
            <w:r w:rsidRPr="003E3073" w:rsidR="00DE647F">
              <w:rPr>
                <w:rStyle w:val="Voetnootmarkering"/>
              </w:rPr>
              <w:footnoteReference w:id="11"/>
            </w:r>
            <w:r w:rsidRPr="003E3073" w:rsidR="002D061D">
              <w:t xml:space="preserve"> ligt – vergelijkbaar met een eerder onderzoek dat de Koninklijke Notariële </w:t>
            </w:r>
            <w:r w:rsidRPr="003E3073" w:rsidR="00DC469B">
              <w:t xml:space="preserve">Beroepsorganisatie </w:t>
            </w:r>
            <w:r w:rsidRPr="003E3073" w:rsidR="002D061D">
              <w:t>heeft laten uitvoeren</w:t>
            </w:r>
            <w:r w:rsidRPr="003E3073" w:rsidR="00DC469B">
              <w:rPr>
                <w:rStyle w:val="Voetnootmarkering"/>
              </w:rPr>
              <w:footnoteReference w:id="12"/>
            </w:r>
            <w:r w:rsidRPr="003E3073" w:rsidR="002D061D">
              <w:t xml:space="preserve"> – lager. Van de </w:t>
            </w:r>
            <w:r w:rsidRPr="003E3073" w:rsidR="00306E68">
              <w:t>Nederlandse bevolking</w:t>
            </w:r>
            <w:r w:rsidRPr="003E3073" w:rsidR="002D061D">
              <w:t xml:space="preserve"> </w:t>
            </w:r>
            <w:r w:rsidRPr="003E3073" w:rsidR="00D409F7">
              <w:t>is blijkens het rapport</w:t>
            </w:r>
            <w:r w:rsidRPr="003E3073" w:rsidR="00306E68">
              <w:t xml:space="preserve"> 43% (in de online enquête), 27% (</w:t>
            </w:r>
            <w:r w:rsidRPr="003E3073" w:rsidR="005B35D4">
              <w:t xml:space="preserve">uit de </w:t>
            </w:r>
            <w:r w:rsidRPr="003E3073" w:rsidR="00306E68">
              <w:t xml:space="preserve">straatinterviews) en 22% </w:t>
            </w:r>
            <w:r w:rsidRPr="003E3073" w:rsidR="005B35D4">
              <w:t xml:space="preserve">(uit het onderzoek van marktonderzoekbureau Motivaction) voorstander van </w:t>
            </w:r>
            <w:r w:rsidRPr="003E3073" w:rsidR="00464FDE">
              <w:t xml:space="preserve">afschaffing van </w:t>
            </w:r>
            <w:r w:rsidRPr="003E3073" w:rsidR="005B35D4">
              <w:t xml:space="preserve">de legitieme portie. </w:t>
            </w:r>
            <w:r w:rsidRPr="003E3073" w:rsidR="00DE647F">
              <w:t>Een kleiner deel, ongeveer een kwart van de geënquêteerden</w:t>
            </w:r>
            <w:r w:rsidRPr="003E3073" w:rsidR="00244577">
              <w:t xml:space="preserve">, heeft aangegeven </w:t>
            </w:r>
            <w:r w:rsidRPr="003E3073" w:rsidR="00464FDE">
              <w:t xml:space="preserve">voorstander te zijn van wijziging van de legitieme portie en </w:t>
            </w:r>
            <w:r w:rsidRPr="003E3073" w:rsidR="0062646F">
              <w:t>wil bijv</w:t>
            </w:r>
            <w:r w:rsidRPr="003E3073" w:rsidR="000A4D19">
              <w:t>oorbeeld</w:t>
            </w:r>
            <w:r w:rsidRPr="003E3073" w:rsidR="0062646F">
              <w:t xml:space="preserve"> </w:t>
            </w:r>
            <w:r w:rsidRPr="003E3073" w:rsidR="00464FDE">
              <w:t xml:space="preserve">de aanspraak hierop alleen mogelijk maken voor </w:t>
            </w:r>
            <w:r w:rsidRPr="003E3073" w:rsidR="00244577">
              <w:t>minderjarige en jongmeerderjarige kinderen of afhankelijk stellen van de behoeftigheid van de kinderen van de erflater.</w:t>
            </w:r>
          </w:p>
          <w:p w:rsidRPr="003E3073" w:rsidR="00B46A7D" w:rsidP="00CF710A" w:rsidRDefault="00B46A7D">
            <w:pPr>
              <w:pStyle w:val="broodtekst"/>
            </w:pPr>
          </w:p>
          <w:p w:rsidRPr="003E3073" w:rsidR="0094150E" w:rsidP="001D69A7" w:rsidRDefault="00244577">
            <w:pPr>
              <w:pStyle w:val="broodtekst"/>
            </w:pPr>
            <w:r w:rsidRPr="003E3073">
              <w:t xml:space="preserve">Op basis van het bovenstaande blijkt mij niet van een dermate dringende en breed gedragen noodzaak </w:t>
            </w:r>
            <w:r w:rsidRPr="003E3073" w:rsidR="001D69A7">
              <w:t xml:space="preserve">noch van praktische problemen die ertoe nopen </w:t>
            </w:r>
            <w:r w:rsidRPr="003E3073">
              <w:t xml:space="preserve">om </w:t>
            </w:r>
            <w:r w:rsidRPr="003E3073" w:rsidR="00464FDE">
              <w:t xml:space="preserve">op korte termijn </w:t>
            </w:r>
            <w:r w:rsidRPr="003E3073">
              <w:t>in deze principiële discussie over te gaan tot afschaffing of wijziging van de legitieme portie.</w:t>
            </w:r>
          </w:p>
          <w:p w:rsidRPr="003E3073" w:rsidR="00E41409" w:rsidP="00CF710A" w:rsidRDefault="00E41409">
            <w:pPr>
              <w:pStyle w:val="broodtekst"/>
            </w:pPr>
          </w:p>
        </w:tc>
      </w:tr>
    </w:tbl>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Pr="003E3073" w:rsidR="00714A5D" w:rsidTr="00A4706B">
              <w:tc>
                <w:tcPr>
                  <w:tcW w:w="7534" w:type="dxa"/>
                  <w:gridSpan w:val="3"/>
                  <w:shd w:val="clear" w:color="auto" w:fill="auto"/>
                </w:tcPr>
                <w:p w:rsidRPr="003E3073" w:rsidR="00714A5D" w:rsidP="00714A5D" w:rsidRDefault="00A762C8">
                  <w:pPr>
                    <w:pStyle w:val="groetregel"/>
                  </w:pPr>
                  <w:bookmarkStart w:name="cursor" w:id="7"/>
                  <w:bookmarkStart w:name="ondertekening" w:id="8"/>
                  <w:bookmarkStart w:name="ondertekening_bk" w:id="9"/>
                  <w:bookmarkEnd w:id="7"/>
                  <w:bookmarkEnd w:id="8"/>
                  <w:r>
                    <w:lastRenderedPageBreak/>
                    <w:t>De M</w:t>
                  </w:r>
                  <w:r w:rsidRPr="003E3073" w:rsidR="00714A5D">
                    <w:t>inister voor Rechtsbescherming,</w:t>
                  </w:r>
                </w:p>
                <w:p w:rsidRPr="003E3073" w:rsidR="00714A5D" w:rsidP="00714A5D" w:rsidRDefault="00714A5D">
                  <w:pPr>
                    <w:pStyle w:val="broodtekst"/>
                  </w:pPr>
                </w:p>
                <w:p w:rsidRPr="003E3073" w:rsidR="00714A5D" w:rsidP="00714A5D" w:rsidRDefault="00714A5D">
                  <w:pPr>
                    <w:pStyle w:val="broodtekst"/>
                  </w:pPr>
                </w:p>
                <w:p w:rsidRPr="003E3073" w:rsidR="00B50569" w:rsidP="00714A5D" w:rsidRDefault="00B50569">
                  <w:pPr>
                    <w:pStyle w:val="broodtekst"/>
                  </w:pPr>
                </w:p>
                <w:p w:rsidRPr="003E3073" w:rsidR="00B50569" w:rsidP="00714A5D" w:rsidRDefault="00B50569">
                  <w:pPr>
                    <w:pStyle w:val="broodtekst"/>
                  </w:pPr>
                </w:p>
                <w:p w:rsidRPr="003E3073" w:rsidR="00714A5D" w:rsidP="00714A5D" w:rsidRDefault="00714A5D">
                  <w:pPr>
                    <w:pStyle w:val="broodtekst"/>
                  </w:pPr>
                  <w:r w:rsidRPr="003E3073">
                    <w:t>F.M. Weerwind</w:t>
                  </w:r>
                </w:p>
              </w:tc>
            </w:tr>
            <w:tr w:rsidRPr="003E3073" w:rsidR="00714A5D" w:rsidTr="00317A3B">
              <w:tc>
                <w:tcPr>
                  <w:tcW w:w="7534" w:type="dxa"/>
                  <w:gridSpan w:val="3"/>
                  <w:shd w:val="clear" w:color="auto" w:fill="auto"/>
                </w:tcPr>
                <w:p w:rsidRPr="003E3073" w:rsidR="00714A5D" w:rsidP="00714A5D" w:rsidRDefault="00714A5D">
                  <w:pPr>
                    <w:pStyle w:val="broodtekst"/>
                  </w:pPr>
                </w:p>
              </w:tc>
            </w:tr>
            <w:tr w:rsidRPr="003E3073" w:rsidR="00714A5D" w:rsidTr="007B3BCD">
              <w:tc>
                <w:tcPr>
                  <w:tcW w:w="7534" w:type="dxa"/>
                  <w:gridSpan w:val="3"/>
                  <w:shd w:val="clear" w:color="auto" w:fill="auto"/>
                </w:tcPr>
                <w:p w:rsidRPr="003E3073" w:rsidR="00714A5D" w:rsidP="00714A5D" w:rsidRDefault="00714A5D">
                  <w:pPr>
                    <w:pStyle w:val="broodtekst"/>
                  </w:pPr>
                </w:p>
              </w:tc>
            </w:tr>
            <w:tr w:rsidRPr="003E3073" w:rsidR="00714A5D" w:rsidTr="00696C3A">
              <w:tc>
                <w:tcPr>
                  <w:tcW w:w="7534" w:type="dxa"/>
                  <w:gridSpan w:val="3"/>
                  <w:shd w:val="clear" w:color="auto" w:fill="auto"/>
                </w:tcPr>
                <w:p w:rsidRPr="003E3073" w:rsidR="00714A5D" w:rsidP="00714A5D" w:rsidRDefault="00714A5D">
                  <w:pPr>
                    <w:pStyle w:val="broodtekst"/>
                  </w:pPr>
                </w:p>
              </w:tc>
            </w:tr>
            <w:tr w:rsidRPr="003E3073" w:rsidR="00714A5D" w:rsidTr="005821C0">
              <w:tc>
                <w:tcPr>
                  <w:tcW w:w="7534" w:type="dxa"/>
                  <w:gridSpan w:val="3"/>
                  <w:shd w:val="clear" w:color="auto" w:fill="auto"/>
                </w:tcPr>
                <w:p w:rsidRPr="003E3073" w:rsidR="00714A5D" w:rsidP="00714A5D" w:rsidRDefault="00714A5D">
                  <w:pPr>
                    <w:pStyle w:val="broodtekst"/>
                  </w:pPr>
                </w:p>
              </w:tc>
            </w:tr>
            <w:tr w:rsidRPr="003E3073" w:rsidR="00714A5D" w:rsidTr="00714A5D">
              <w:tc>
                <w:tcPr>
                  <w:tcW w:w="4208" w:type="dxa"/>
                  <w:shd w:val="clear" w:color="auto" w:fill="auto"/>
                </w:tcPr>
                <w:p w:rsidRPr="003E3073" w:rsidR="00714A5D" w:rsidP="00714A5D" w:rsidRDefault="00714A5D">
                  <w:pPr>
                    <w:pStyle w:val="broodtekst"/>
                  </w:pPr>
                </w:p>
              </w:tc>
              <w:tc>
                <w:tcPr>
                  <w:tcW w:w="227" w:type="dxa"/>
                  <w:shd w:val="clear" w:color="auto" w:fill="auto"/>
                </w:tcPr>
                <w:p w:rsidRPr="003E3073" w:rsidR="00714A5D" w:rsidP="00714A5D" w:rsidRDefault="00714A5D">
                  <w:pPr>
                    <w:pStyle w:val="broodtekst"/>
                  </w:pPr>
                </w:p>
              </w:tc>
              <w:tc>
                <w:tcPr>
                  <w:tcW w:w="3099" w:type="dxa"/>
                  <w:shd w:val="clear" w:color="auto" w:fill="auto"/>
                </w:tcPr>
                <w:p w:rsidRPr="003E3073" w:rsidR="00714A5D" w:rsidRDefault="00714A5D">
                  <w:pPr>
                    <w:pStyle w:val="broodtekst"/>
                  </w:pPr>
                </w:p>
              </w:tc>
            </w:tr>
            <w:bookmarkEnd w:id="9"/>
          </w:tbl>
          <w:p w:rsidRPr="003E3073" w:rsidR="00714A5D" w:rsidP="00714A5D" w:rsidRDefault="00714A5D">
            <w:pPr>
              <w:pStyle w:val="in-table"/>
            </w:pPr>
          </w:p>
          <w:p w:rsidR="00F75106" w:rsidRDefault="008A7B34">
            <w:pPr>
              <w:pStyle w:val="broodtekst"/>
            </w:pPr>
            <w:r w:rsidRPr="003E3073">
              <w:fldChar w:fldCharType="begin"/>
            </w:r>
            <w:r w:rsidRPr="003E3073" w:rsidR="00F75106">
              <w:instrText xml:space="preserve"> DOCPROPERTY ondertekening </w:instrText>
            </w:r>
            <w:r w:rsidRPr="003E3073">
              <w:fldChar w:fldCharType="end"/>
            </w:r>
          </w:p>
        </w:tc>
      </w:tr>
    </w:tbl>
    <w:p w:rsidR="00B07A94" w:rsidRDefault="00B07A94">
      <w:pPr>
        <w:pStyle w:val="broodtekst"/>
      </w:pPr>
    </w:p>
    <w:sectPr w:rsidR="00B07A94"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07" w:rsidRDefault="00A65307">
      <w:r>
        <w:separator/>
      </w:r>
    </w:p>
    <w:p w:rsidR="00A65307" w:rsidRDefault="00A65307"/>
    <w:p w:rsidR="00A65307" w:rsidRDefault="00A65307"/>
    <w:p w:rsidR="00A65307" w:rsidRDefault="00A65307"/>
  </w:endnote>
  <w:endnote w:type="continuationSeparator" w:id="0">
    <w:p w:rsidR="00A65307" w:rsidRDefault="00A65307">
      <w:r>
        <w:continuationSeparator/>
      </w:r>
    </w:p>
    <w:p w:rsidR="00A65307" w:rsidRDefault="00A65307"/>
    <w:p w:rsidR="00A65307" w:rsidRDefault="00A65307"/>
    <w:p w:rsidR="00A65307" w:rsidRDefault="00A65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w:t>
          </w:r>
          <w:r w:rsidR="0062646F">
            <w:rPr>
              <w:rStyle w:val="Huisstijl-GegevenCharChar"/>
            </w:rPr>
            <w:t xml:space="preserve"> </w:t>
          </w:r>
          <w:r>
            <w:rPr>
              <w:rStyle w:val="Huisstijl-GegevenCharChar"/>
            </w:rPr>
            <w:t>van</w:t>
          </w:r>
          <w:r>
            <w:t xml:space="preserve"> </w:t>
          </w:r>
          <w:r w:rsidR="00A762C8">
            <w:fldChar w:fldCharType="begin"/>
          </w:r>
          <w:r w:rsidR="00A762C8">
            <w:instrText xml:space="preserve"> NUMPAGES   \* MERGEFORMAT </w:instrText>
          </w:r>
          <w:r w:rsidR="00A762C8">
            <w:fldChar w:fldCharType="separate"/>
          </w:r>
          <w:r w:rsidR="00714A5D">
            <w:t>1</w:t>
          </w:r>
          <w:r w:rsidR="00A762C8">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714A5D">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714A5D">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714A5D">
            <w:rPr>
              <w:rStyle w:val="Huisstijl-GegevenCharChar"/>
            </w:rPr>
            <w:t>van</w:t>
          </w:r>
          <w:r>
            <w:rPr>
              <w:rStyle w:val="Huisstijl-GegevenCharChar"/>
            </w:rPr>
            <w:fldChar w:fldCharType="end"/>
          </w:r>
          <w:r w:rsidR="0089073C">
            <w:t xml:space="preserve"> </w:t>
          </w:r>
          <w:r w:rsidR="00A762C8">
            <w:fldChar w:fldCharType="begin"/>
          </w:r>
          <w:r w:rsidR="00A762C8">
            <w:instrText xml:space="preserve"> SECTIONPAGES   \* MERGEFORMAT </w:instrText>
          </w:r>
          <w:r w:rsidR="00A762C8">
            <w:fldChar w:fldCharType="separate"/>
          </w:r>
          <w:r w:rsidR="00714A5D">
            <w:t>1</w:t>
          </w:r>
          <w:r w:rsidR="00A762C8">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CF3CB8">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A762C8">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A762C8">
            <w:rPr>
              <w:rStyle w:val="Huisstijl-GegevenCharChar"/>
            </w:rPr>
            <w:instrText>5</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714A5D">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A762C8">
            <w:rPr>
              <w:rStyle w:val="Paginanummer"/>
            </w:rPr>
            <w:t>5</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714A5D">
            <w:rPr>
              <w:rStyle w:val="Huisstijl-GegevenCharChar"/>
            </w:rPr>
            <w:t>van</w:t>
          </w:r>
          <w:r>
            <w:rPr>
              <w:rStyle w:val="Huisstijl-GegevenCharChar"/>
            </w:rPr>
            <w:fldChar w:fldCharType="end"/>
          </w:r>
          <w:r w:rsidR="0089073C">
            <w:t xml:space="preserve"> </w:t>
          </w:r>
          <w:r w:rsidR="00A762C8">
            <w:fldChar w:fldCharType="begin"/>
          </w:r>
          <w:r w:rsidR="00A762C8">
            <w:instrText xml:space="preserve"> SECTIONPAGES   \* MERGEFORMAT </w:instrText>
          </w:r>
          <w:r w:rsidR="00A762C8">
            <w:fldChar w:fldCharType="separate"/>
          </w:r>
          <w:r w:rsidR="00A762C8">
            <w:t>5</w:t>
          </w:r>
          <w:r w:rsidR="00A762C8">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07" w:rsidRDefault="00A65307">
      <w:r>
        <w:separator/>
      </w:r>
    </w:p>
  </w:footnote>
  <w:footnote w:type="continuationSeparator" w:id="0">
    <w:p w:rsidR="00A65307" w:rsidRDefault="00A65307">
      <w:r>
        <w:continuationSeparator/>
      </w:r>
    </w:p>
  </w:footnote>
  <w:footnote w:id="1">
    <w:p w:rsidR="00BA0E95" w:rsidRPr="00BA0E95" w:rsidRDefault="00BA0E95" w:rsidP="009676D4">
      <w:pPr>
        <w:pStyle w:val="Voetnoottekst"/>
        <w:rPr>
          <w:szCs w:val="16"/>
        </w:rPr>
      </w:pPr>
      <w:r w:rsidRPr="00BA0E95">
        <w:rPr>
          <w:rStyle w:val="Voetnootmarkering"/>
          <w:szCs w:val="16"/>
        </w:rPr>
        <w:footnoteRef/>
      </w:r>
      <w:r w:rsidRPr="00BA0E95">
        <w:rPr>
          <w:szCs w:val="16"/>
        </w:rPr>
        <w:t xml:space="preserve"> </w:t>
      </w:r>
      <w:r w:rsidR="009676D4" w:rsidRPr="009676D4">
        <w:rPr>
          <w:szCs w:val="16"/>
        </w:rPr>
        <w:t xml:space="preserve">Naast gehuwden en geregistreerde partners worden onder bepaalde voorwaarden ook samenwonenden als partners aangemerkt </w:t>
      </w:r>
      <w:r w:rsidR="009676D4">
        <w:rPr>
          <w:szCs w:val="16"/>
        </w:rPr>
        <w:t>(a</w:t>
      </w:r>
      <w:r w:rsidRPr="00BA0E95">
        <w:rPr>
          <w:szCs w:val="16"/>
        </w:rPr>
        <w:t>rtikel 1a Successiewet 1956</w:t>
      </w:r>
      <w:r w:rsidR="009676D4">
        <w:rPr>
          <w:szCs w:val="16"/>
        </w:rPr>
        <w:t>)</w:t>
      </w:r>
      <w:r w:rsidRPr="00BA0E95">
        <w:rPr>
          <w:szCs w:val="16"/>
        </w:rPr>
        <w:t>.</w:t>
      </w:r>
    </w:p>
  </w:footnote>
  <w:footnote w:id="2">
    <w:p w:rsidR="00BA0E95" w:rsidRPr="00E10858" w:rsidRDefault="00BA0E95" w:rsidP="00BA0E95">
      <w:pPr>
        <w:pStyle w:val="Voetnoottekst"/>
        <w:rPr>
          <w:szCs w:val="16"/>
        </w:rPr>
      </w:pPr>
      <w:r w:rsidRPr="00E10858">
        <w:rPr>
          <w:rStyle w:val="Voetnootmarkering"/>
          <w:szCs w:val="16"/>
        </w:rPr>
        <w:footnoteRef/>
      </w:r>
      <w:r w:rsidRPr="00E10858">
        <w:rPr>
          <w:szCs w:val="16"/>
        </w:rPr>
        <w:t xml:space="preserve"> Het tarief voor afstammelingen in de rechte lijn, bijvoorbeeld kleinkinderen, bedraagt 18% respectievelijk 36%.</w:t>
      </w:r>
    </w:p>
  </w:footnote>
  <w:footnote w:id="3">
    <w:p w:rsidR="00A201D8" w:rsidRDefault="00A201D8" w:rsidP="00CD0A45">
      <w:pPr>
        <w:pStyle w:val="Voetnoottekst"/>
      </w:pPr>
      <w:r>
        <w:rPr>
          <w:rStyle w:val="Voetnootmarkering"/>
        </w:rPr>
        <w:footnoteRef/>
      </w:r>
      <w:r w:rsidR="00CD0A45">
        <w:t xml:space="preserve"> EHRM 22 juni 1999, ECLI:NL:XX:1999:AV1935, BNB 2002, 398; HR 19 oktober 2007, ECLI:NL:HR:2007:AZ1715.</w:t>
      </w:r>
    </w:p>
  </w:footnote>
  <w:footnote w:id="4">
    <w:p w:rsidR="00CB2B95" w:rsidRDefault="00CB2B95">
      <w:pPr>
        <w:pStyle w:val="Voetnoottekst"/>
      </w:pPr>
      <w:r>
        <w:rPr>
          <w:rStyle w:val="Voetnootmarkering"/>
        </w:rPr>
        <w:footnoteRef/>
      </w:r>
      <w:r>
        <w:t xml:space="preserve"> </w:t>
      </w:r>
      <w:r w:rsidRPr="00E10858">
        <w:rPr>
          <w:szCs w:val="16"/>
        </w:rPr>
        <w:t>Kamerstukken II 2019/2020, 32</w:t>
      </w:r>
      <w:r>
        <w:rPr>
          <w:szCs w:val="16"/>
        </w:rPr>
        <w:t xml:space="preserve"> </w:t>
      </w:r>
      <w:r w:rsidRPr="00E10858">
        <w:rPr>
          <w:szCs w:val="16"/>
        </w:rPr>
        <w:t>140, nr. 71.</w:t>
      </w:r>
    </w:p>
  </w:footnote>
  <w:footnote w:id="5">
    <w:p w:rsidR="004517CF" w:rsidRDefault="004517CF">
      <w:pPr>
        <w:pStyle w:val="Voetnoottekst"/>
      </w:pPr>
      <w:r>
        <w:rPr>
          <w:rStyle w:val="Voetnootmarkering"/>
        </w:rPr>
        <w:footnoteRef/>
      </w:r>
      <w:r>
        <w:t xml:space="preserve"> Kamerstukken II, 2021/2022, 32 140, nr. 119.</w:t>
      </w:r>
    </w:p>
  </w:footnote>
  <w:footnote w:id="6">
    <w:p w:rsidR="00B20F7F" w:rsidRDefault="00B20F7F">
      <w:pPr>
        <w:pStyle w:val="Voetnoottekst"/>
      </w:pPr>
      <w:r>
        <w:rPr>
          <w:rStyle w:val="Voetnootmarkering"/>
        </w:rPr>
        <w:footnoteRef/>
      </w:r>
      <w:r>
        <w:t xml:space="preserve"> F. Schols en L. van der Geld, Rapport Legitieme portie</w:t>
      </w:r>
      <w:r w:rsidR="00866D88">
        <w:t>. Een eerstelijns – en nader voort te zetten – veldonderzoek naar de wenselijkheid van de legitieme portie in het hedendaagse erfrecht, C</w:t>
      </w:r>
      <w:r w:rsidR="0051059D">
        <w:t xml:space="preserve">entrum voor </w:t>
      </w:r>
      <w:r w:rsidR="00866D88">
        <w:t>N</w:t>
      </w:r>
      <w:r w:rsidR="0051059D">
        <w:t xml:space="preserve">otarieel </w:t>
      </w:r>
      <w:r w:rsidR="00866D88">
        <w:t>R</w:t>
      </w:r>
      <w:r w:rsidR="0051059D">
        <w:t>echt</w:t>
      </w:r>
      <w:r w:rsidR="00866D88">
        <w:t xml:space="preserve"> Radboud Universiteit Nijmegen/Netwerk Notarissen, december 2020, raadpleegbaar via </w:t>
      </w:r>
      <w:hyperlink r:id="rId1" w:history="1">
        <w:r w:rsidR="00866D88" w:rsidRPr="00876908">
          <w:rPr>
            <w:rStyle w:val="Hyperlink"/>
          </w:rPr>
          <w:t>www.legitiemeportie.com</w:t>
        </w:r>
      </w:hyperlink>
      <w:r w:rsidR="00866D88">
        <w:t xml:space="preserve">. </w:t>
      </w:r>
    </w:p>
  </w:footnote>
  <w:footnote w:id="7">
    <w:p w:rsidR="00A83587" w:rsidRDefault="00A83587">
      <w:pPr>
        <w:pStyle w:val="Voetnoottekst"/>
      </w:pPr>
      <w:r>
        <w:rPr>
          <w:rStyle w:val="Voetnootmarkering"/>
        </w:rPr>
        <w:footnoteRef/>
      </w:r>
      <w:r>
        <w:t xml:space="preserve"> Zie </w:t>
      </w:r>
      <w:hyperlink r:id="rId2" w:history="1">
        <w:r w:rsidRPr="00876908">
          <w:rPr>
            <w:rStyle w:val="Hyperlink"/>
          </w:rPr>
          <w:t>www.delegitiemeportie.com</w:t>
        </w:r>
      </w:hyperlink>
      <w:r>
        <w:t>.</w:t>
      </w:r>
    </w:p>
  </w:footnote>
  <w:footnote w:id="8">
    <w:p w:rsidR="009301D4" w:rsidRDefault="009301D4">
      <w:pPr>
        <w:pStyle w:val="Voetnoottekst"/>
      </w:pPr>
      <w:r>
        <w:rPr>
          <w:rStyle w:val="Voetnootmarkering"/>
        </w:rPr>
        <w:footnoteRef/>
      </w:r>
      <w:r>
        <w:t xml:space="preserve"> Zie J.H.M. ter Haar, Is de legitieme portie nog legitiem?, Tijdschrift Erfrecht 2021, nr. 2, p. 23 en 27.</w:t>
      </w:r>
    </w:p>
  </w:footnote>
  <w:footnote w:id="9">
    <w:p w:rsidR="00557F8F" w:rsidRDefault="00557F8F" w:rsidP="000A4D19">
      <w:pPr>
        <w:pStyle w:val="Voetnoottekst"/>
      </w:pPr>
      <w:r>
        <w:rPr>
          <w:rStyle w:val="Voetnootmarkering"/>
        </w:rPr>
        <w:footnoteRef/>
      </w:r>
      <w:r>
        <w:t xml:space="preserve"> Zie P.C. van Es, Het bestaansrecht van de legitieme, WPNR 2021/7334, p. 574</w:t>
      </w:r>
      <w:r w:rsidR="00E70542">
        <w:t>, die hierbij de kanttekening plaatst dat komende generaties forse lastenverzwaringen te verduren zullen krijgen</w:t>
      </w:r>
      <w:r>
        <w:t xml:space="preserve">. </w:t>
      </w:r>
      <w:r w:rsidR="00E70542">
        <w:t>Zie hierover ook p. 27 van de in de vorige voetnoot genoemde publicatie.</w:t>
      </w:r>
    </w:p>
  </w:footnote>
  <w:footnote w:id="10">
    <w:p w:rsidR="000E5518" w:rsidRDefault="000E5518" w:rsidP="006647C8">
      <w:pPr>
        <w:pStyle w:val="Voetnoottekst"/>
      </w:pPr>
      <w:r>
        <w:rPr>
          <w:rStyle w:val="Voetnootmarkering"/>
        </w:rPr>
        <w:footnoteRef/>
      </w:r>
      <w:r>
        <w:t xml:space="preserve"> Dit zijn de percentages van de professionals in hun professionele hoedanigheid</w:t>
      </w:r>
      <w:r w:rsidR="006647C8">
        <w:t>. D</w:t>
      </w:r>
      <w:r>
        <w:t xml:space="preserve">e mening op grond van die hoedanigheid </w:t>
      </w:r>
      <w:r w:rsidR="006647C8">
        <w:t xml:space="preserve">is </w:t>
      </w:r>
      <w:r>
        <w:t>specifiek van belang voor de discussie over de legitieme portie</w:t>
      </w:r>
      <w:r w:rsidR="006647C8">
        <w:t>;</w:t>
      </w:r>
      <w:r>
        <w:t xml:space="preserve"> de mening van deze professionals als privépersoon </w:t>
      </w:r>
      <w:r w:rsidR="006647C8">
        <w:t xml:space="preserve">lijkt </w:t>
      </w:r>
      <w:r>
        <w:t xml:space="preserve">niet meer of minder relevant dan die van het Nederlandse publiek.    </w:t>
      </w:r>
    </w:p>
  </w:footnote>
  <w:footnote w:id="11">
    <w:p w:rsidR="00DE647F" w:rsidRDefault="00DE647F" w:rsidP="00DE647F">
      <w:pPr>
        <w:pStyle w:val="Voetnoottekst"/>
      </w:pPr>
      <w:r>
        <w:rPr>
          <w:rStyle w:val="Voetnootmarkering"/>
        </w:rPr>
        <w:footnoteRef/>
      </w:r>
      <w:r>
        <w:t xml:space="preserve"> De (hogere) percentages onder de professionals als privépersoon zijn hierin niet verwerkt, maar afzonderlijk van de resultaten van de publiekspeilingen in het rapport opgenomen. </w:t>
      </w:r>
    </w:p>
  </w:footnote>
  <w:footnote w:id="12">
    <w:p w:rsidR="00DC469B" w:rsidRDefault="00DC469B" w:rsidP="00DC469B">
      <w:pPr>
        <w:pStyle w:val="Voetnoottekst"/>
      </w:pPr>
      <w:r>
        <w:rPr>
          <w:rStyle w:val="Voetnootmarkering"/>
        </w:rPr>
        <w:footnoteRef/>
      </w:r>
      <w:r>
        <w:t xml:space="preserve"> Zie het nieuwsbericht van de KNB van 23 november 2016, </w:t>
      </w:r>
      <w:hyperlink r:id="rId3" w:history="1">
        <w:r w:rsidRPr="00CF2F0F">
          <w:rPr>
            <w:rStyle w:val="Hyperlink"/>
          </w:rPr>
          <w:t>https://www.knb.nl/nieuwsberichten/40-procent-nederlanders-voor-onterven-van-kind</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FE3499">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2043B9C2" wp14:editId="613A0C69">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714A5D" w:rsidRDefault="008A7B34">
                                <w:pPr>
                                  <w:pStyle w:val="referentiegegevparagraaf"/>
                                  <w:rPr>
                                    <w:rStyle w:val="directieregel"/>
                                  </w:rPr>
                                </w:pPr>
                                <w:r>
                                  <w:rPr>
                                    <w:b/>
                                  </w:rPr>
                                  <w:fldChar w:fldCharType="begin"/>
                                </w:r>
                                <w:r w:rsidR="0089073C" w:rsidRPr="00F67A86">
                                  <w:rPr>
                                    <w:b/>
                                  </w:rPr>
                                  <w:instrText xml:space="preserve"> DOCPROPERTY directoraatvolg</w:instrText>
                                </w:r>
                                <w:r>
                                  <w:rPr>
                                    <w:b/>
                                  </w:rPr>
                                  <w:fldChar w:fldCharType="separate"/>
                                </w:r>
                                <w:r w:rsidR="00714A5D" w:rsidRPr="00F67A86">
                                  <w:rPr>
                                    <w:b/>
                                  </w:rPr>
                                  <w:t>Directie Wetgeving en Juridische Zaken</w:t>
                                </w:r>
                                <w:r>
                                  <w:rPr>
                                    <w:b/>
                                  </w:rPr>
                                  <w:fldChar w:fldCharType="end"/>
                                </w:r>
                                <w:r>
                                  <w:fldChar w:fldCharType="begin"/>
                                </w:r>
                                <w:r w:rsidR="0089073C" w:rsidRPr="00F67A86">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714A5D">
                                  <w:rPr>
                                    <w:rStyle w:val="directieregel"/>
                                  </w:rPr>
                                  <w:t> </w:t>
                                </w:r>
                              </w:p>
                              <w:p w:rsidR="0089073C" w:rsidRPr="00F67A86"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F67A86">
                                  <w:rPr>
                                    <w:b/>
                                  </w:rPr>
                                  <w:instrText xml:space="preserve"> DOCPROPERTY _datum </w:instrText>
                                </w:r>
                                <w:r>
                                  <w:rPr>
                                    <w:b/>
                                  </w:rPr>
                                  <w:fldChar w:fldCharType="separate"/>
                                </w:r>
                                <w:r w:rsidR="00714A5D" w:rsidRPr="00F67A86">
                                  <w:rPr>
                                    <w:b/>
                                  </w:rPr>
                                  <w:t>Datum</w:t>
                                </w:r>
                                <w:r>
                                  <w:rPr>
                                    <w:b/>
                                  </w:rPr>
                                  <w:fldChar w:fldCharType="end"/>
                                </w:r>
                              </w:p>
                              <w:p w:rsidR="0089073C" w:rsidRDefault="00A762C8" w:rsidP="00B20F7F">
                                <w:pPr>
                                  <w:pStyle w:val="referentiegegevens"/>
                                </w:pPr>
                                <w:r>
                                  <w:t>22 juni 2022</w:t>
                                </w:r>
                              </w:p>
                              <w:p w:rsidR="0089073C" w:rsidRDefault="0089073C">
                                <w:pPr>
                                  <w:pStyle w:val="witregel1"/>
                                </w:pPr>
                              </w:p>
                              <w:p w:rsidR="00714A5D"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714A5D">
                                  <w:rPr>
                                    <w:b/>
                                  </w:rPr>
                                  <w:t>Ons kenmerk</w:t>
                                </w:r>
                              </w:p>
                              <w:p w:rsidR="0089073C" w:rsidRDefault="008A7B34" w:rsidP="00A4249B">
                                <w:pPr>
                                  <w:pStyle w:val="referentiegegevens"/>
                                  <w:rPr>
                                    <w:b/>
                                    <w:bCs/>
                                  </w:rPr>
                                </w:pPr>
                                <w:r>
                                  <w:rPr>
                                    <w:b/>
                                  </w:rPr>
                                  <w:fldChar w:fldCharType="end"/>
                                </w:r>
                                <w:r w:rsidR="00A4249B">
                                  <w:t>4048257</w:t>
                                </w:r>
                                <w:r w:rsidR="00A4249B">
                                  <w:rPr>
                                    <w:b/>
                                    <w:bCs/>
                                  </w:rPr>
                                  <w:t xml:space="preserve"> </w:t>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3B9C2"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714A5D" w:rsidRDefault="008A7B34">
                          <w:pPr>
                            <w:pStyle w:val="referentiegegevparagraaf"/>
                            <w:rPr>
                              <w:rStyle w:val="directieregel"/>
                            </w:rPr>
                          </w:pPr>
                          <w:r>
                            <w:rPr>
                              <w:b/>
                            </w:rPr>
                            <w:fldChar w:fldCharType="begin"/>
                          </w:r>
                          <w:r w:rsidR="0089073C" w:rsidRPr="00F67A86">
                            <w:rPr>
                              <w:b/>
                            </w:rPr>
                            <w:instrText xml:space="preserve"> DOCPROPERTY directoraatvolg</w:instrText>
                          </w:r>
                          <w:r>
                            <w:rPr>
                              <w:b/>
                            </w:rPr>
                            <w:fldChar w:fldCharType="separate"/>
                          </w:r>
                          <w:r w:rsidR="00714A5D" w:rsidRPr="00F67A86">
                            <w:rPr>
                              <w:b/>
                            </w:rPr>
                            <w:t>Directie Wetgeving en Juridische Zaken</w:t>
                          </w:r>
                          <w:r>
                            <w:rPr>
                              <w:b/>
                            </w:rPr>
                            <w:fldChar w:fldCharType="end"/>
                          </w:r>
                          <w:r>
                            <w:fldChar w:fldCharType="begin"/>
                          </w:r>
                          <w:r w:rsidR="0089073C" w:rsidRPr="00F67A86">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714A5D">
                            <w:rPr>
                              <w:rStyle w:val="directieregel"/>
                            </w:rPr>
                            <w:t> </w:t>
                          </w:r>
                        </w:p>
                        <w:p w:rsidR="0089073C" w:rsidRPr="00F67A86"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F67A86">
                            <w:rPr>
                              <w:b/>
                            </w:rPr>
                            <w:instrText xml:space="preserve"> DOCPROPERTY _datum </w:instrText>
                          </w:r>
                          <w:r>
                            <w:rPr>
                              <w:b/>
                            </w:rPr>
                            <w:fldChar w:fldCharType="separate"/>
                          </w:r>
                          <w:r w:rsidR="00714A5D" w:rsidRPr="00F67A86">
                            <w:rPr>
                              <w:b/>
                            </w:rPr>
                            <w:t>Datum</w:t>
                          </w:r>
                          <w:r>
                            <w:rPr>
                              <w:b/>
                            </w:rPr>
                            <w:fldChar w:fldCharType="end"/>
                          </w:r>
                        </w:p>
                        <w:p w:rsidR="0089073C" w:rsidRDefault="00A762C8" w:rsidP="00B20F7F">
                          <w:pPr>
                            <w:pStyle w:val="referentiegegevens"/>
                          </w:pPr>
                          <w:r>
                            <w:t>22 juni 2022</w:t>
                          </w:r>
                        </w:p>
                        <w:p w:rsidR="0089073C" w:rsidRDefault="0089073C">
                          <w:pPr>
                            <w:pStyle w:val="witregel1"/>
                          </w:pPr>
                        </w:p>
                        <w:p w:rsidR="00714A5D"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714A5D">
                            <w:rPr>
                              <w:b/>
                            </w:rPr>
                            <w:t>Ons kenmerk</w:t>
                          </w:r>
                        </w:p>
                        <w:p w:rsidR="0089073C" w:rsidRDefault="008A7B34" w:rsidP="00A4249B">
                          <w:pPr>
                            <w:pStyle w:val="referentiegegevens"/>
                            <w:rPr>
                              <w:b/>
                              <w:bCs/>
                            </w:rPr>
                          </w:pPr>
                          <w:r>
                            <w:rPr>
                              <w:b/>
                            </w:rPr>
                            <w:fldChar w:fldCharType="end"/>
                          </w:r>
                          <w:r w:rsidR="00A4249B">
                            <w:t>4048257</w:t>
                          </w:r>
                          <w:r w:rsidR="00A4249B">
                            <w:rPr>
                              <w:b/>
                              <w:bCs/>
                            </w:rPr>
                            <w:t xml:space="preserve"> </w:t>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AFB01AF" wp14:editId="5A7C5729">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B01AF"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rPr>
        <w:color w:val="FFFFFF"/>
      </w:rPr>
    </w:pPr>
    <w:bookmarkStart w:id="6" w:name="bmpagina"/>
    <w:r>
      <w:rPr>
        <w:noProof/>
        <w:sz w:val="20"/>
      </w:rPr>
      <w:drawing>
        <wp:anchor distT="0" distB="0" distL="114300" distR="114300" simplePos="0" relativeHeight="251659264" behindDoc="1" locked="1" layoutInCell="1" allowOverlap="1" wp14:anchorId="6F28AFC3" wp14:editId="06EBACF3">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FE3499">
      <w:rPr>
        <w:noProof/>
        <w:color w:val="FFFFFF"/>
        <w:sz w:val="20"/>
      </w:rPr>
      <mc:AlternateContent>
        <mc:Choice Requires="wps">
          <w:drawing>
            <wp:anchor distT="0" distB="0" distL="114300" distR="114300" simplePos="0" relativeHeight="251656192" behindDoc="0" locked="1" layoutInCell="1" allowOverlap="1" wp14:anchorId="1A56A957" wp14:editId="09AB37E4">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2F735"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CF3CB8">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48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5290&quot; engine-version=&quot;4.4.0&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Hoogachtend,&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lt;/p&gt;&lt;/td&gt;&lt;td style=&quot;broodtekst&quot;&gt;&lt;/td&gt;&lt;td/&gt;&lt;/tr&gt;&lt;/tbody&gt;&lt;/table&gt;&lt;p style=&quot;in-table&quot;/&gt;&lt;/body&gt;&lt;/ondertekening_content&gt;&lt;toevoegen-model formatted-value=&quot;&quot;/&gt;&lt;chkminuut/&gt;&lt;minuut formatted-value=&quot;minuut-2010.xml&quot;/&gt;&lt;ondertekenaar-item value=&quot;1&quot; formatted-value=&quot;Vink&quot;&gt;&lt;afzender taal=&quot;1043&quot; aanhef=&quot;1&quot; groetregel=&quot;2&quot; name=&quot;Vink&quot; country-id=&quot;NLD&quot; country-code=&quot;31&quot; organisatie=&quot;176&quot; email=&quot;j.m.vink1@minjenv.nl&quot; telefoon=&quot;06-52872553&quot;&gt;&lt;taal id=&quot;1043&quot;/&gt;&lt;taal id=&quot;2057&quot;/&gt;&lt;taal id=&quot;1031&quot;/&gt;&lt;taal id=&quot;1036&quot;/&gt;&lt;taal id=&quot;1034&quot;/&gt;&lt;/afzender&gt;_x000d__x000a__x0009__x0009_&lt;/ondertekenaar-item&gt;&lt;tweedeondertekenaar-item/&gt;&lt;behandelddoor-item value=&quot;2&quot; formatted-value=&quot;vink&quot;&gt;&lt;afzender taal=&quot;1043&quot; aanhef=&quot;1&quot; groetregel=&quot;1&quot; name=&quot;vink&quot; country-id=&quot;NLD&quot; country-code=&quot;31&quot; organisatie=&quot;176&quot; email=&quot;j.m.vink1@minjenv.nl&quot; telefoon=&quot;06-52872553&quot;&gt;&lt;taal id=&quot;1043&quot;/&gt;&lt;taal id=&quot;2057&quot;/&gt;&lt;taal id=&quot;1031&quot;/&gt;&lt;taal id=&quot;1036&quot;/&gt;&lt;taal id=&quot;1034&quot;/&gt;&lt;/afzender&gt;_x000d__x000a__x0009__x0009_&lt;/behandelddoor-item&gt;&lt;organisatie-item value=&quot;176&quot; formatted-value=&quot;Directie Wetgeving en Juridische Zaken (DWJZ)&quot;&gt;&lt;organisatie zoekveld=&quot;Directie Wetgeving en Juridische Zaken (DWJZ)&quot; facebook=&quot;&quot; linkedin=&quot;&quot; twitter=&quot;&quot; youtube=&quot;&quot; id=&quot;176&quot;&gt;_x000d__x000a__x0009__x0009__x0009__x0009_&lt;taal id=&quot;1034&quot; zoekveld=&quot;Directie Wetgeving en Juridische Zaken (DWJZ)&quot; omschrijving=&quot;Dirección de Legislación y Asuntos Jurídicos&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search=&quot;Directie Wetgeving en Juridische Zaken (DWJZ)&quot; koptekst=&quot;\nDirección de Legislación y Asuntos Jurídicos\n&quot; bezoekadres=&quot;Bezoekadres\nTurfmarkt 147\n2511 DP La Haya\nTelefoon +31 70 370 79 11\nFax +31 70 370 75 16\nwww.rijksoverheid.nl/jenv&quot; postadres=&quot;Postadres:\nPostbus 20301,\n2500 EH La Haya&quot;/&gt;_x000d__x000a__x0009__x0009__x0009__x0009_&lt;taal id=&quot;1031&quot; zoekveld=&quot;Directie Wetgeving en Juridische Zaken (DWJZ)&quot; omschrijving=&quot;Direktion Gesetzgebung und Rechtsangelegenheit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search=&quot;Directie Wetgeving en Juridische Zaken (DWJZ)&quot; koptekst=&quot;\nDirektion Gesetzgebung und Rechtsangelegenheiten\n&quot; bezoekadres=&quot;Bezoekadres\nTurfmarkt 147\n2511 DP Den Haag\nTelefoon +31 70 370 79 11\nFax +31 70 370 75 16\nwww.rijksoverheid.nl/jenv&quot; postadres=&quot;Postadres:\nPostbus 20301,\n2500 EH Den Haag&quot;/&gt;_x000d__x000a__x0009__x0009__x0009__x0009_&lt;taal id=&quot;1036&quot; zoekveld=&quot;Directie Wetgeving en Juridische Zaken (DWJZ)&quot; omschrijving=&quot;Direction de la Législation et des Affaires Juridiques&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search=&quot;Directie Wetgeving en Juridische Zaken (DWJZ)&quot; koptekst=&quot;\nDirection de la Législation et des Affaires Juridiques\n&quot; bezoekadres=&quot;Bezoekadres\nTurfmarkt 147\n2511 DP La Haye\nTelefoon +31 70 370 79 11\nFax +31 70 370 75 16\nwww.rijksoverheid.nl/jenv&quot; postadres=&quot;Postadres:\nPostbus 20301,\n2500 EH La Haye&quot;/&gt;_x000d__x000a__x0009__x0009__x0009__x0009_&lt;taal id=&quot;2057&quot; zoekveld=&quot;Directie Wetgeving en Juridische Zaken (DWJZ)&quot; omschrijving=&quot;Legislation and Legal Affairs Department&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search=&quot;Directie Wetgeving en Juridische Zaken (DWJZ)&quot; koptekst=&quot;\nLegislation and Legal Affairs Department\n&quot; bezoekadres=&quot;Bezoekadres\nTurfmarkt 147\n2511 DP The Hague\nTelefoon +31 70 370 79 11\nFax +31 70 370 75 16\nwww.rijksoverheid.nl/jenv&quot; postadres=&quot;Postadres:\nPostbus 20301,\n2500 EH The Hague&quot;/&gt;_x000d__x000a__x0009__x0009__x0009__x0009_&lt;taal id=&quot;1043&quot; zoekveld=&quot;Directie Wetgeving en Juridische Zaken (DWJZ)&quot; omschrijving=&quot;Directie Wetgeving en Juridische Zaken &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search=&quot;Directie Wetgeving en Juridische Zaken (DWJZ)&quot; koptekst=&quot;\nDirectie Wetgeving en Juridische Zaken\n&quot; bezoekadres=&quot;Bezoekadres\nTurfmarkt 147\n2511 DP Den Haag\nTelefoon 070 370 79 11\nFax 070 370 75 16\nwww.rijksoverheid.nl/jenv&quot; postadres=&quot;Postadres:\nPostbus 20301,\n2500 EH Den Haag&quot;/&gt;_x000d__x000a__x0009__x0009__x0009_&lt;/organisatie&gt;_x000d__x000a__x0009__x0009_&lt;/organisatie-item&gt;&lt;zaak/&gt;&lt;adres formatted-value=&quot;De Voorzitter van de Tweede Kamer\nder Staten-Generaal\nPostbus 20018 \n2500 EA  DEN HAAG&quot; value=&quot;182&quot;&gt;&lt;address street=&quot;Postbus 20018&quot; zipcode=&quot;2500 EA&quot; city=&quot;DEN HAAG&quot; typeid=&quot;1&quot; typename=&quot;postadres&quot; country-id=&quot;NLD&quot; country-code=&quot;31&quot; omitted-country=&quot;Nederland&quot;&gt;&lt;person display=&quot;Staten-Generaal&quot; index=&quot;1&quot; first=&quot;der&quot; last=&quot;Staten-Generaal&quot;/&gt;_x000d__x000a__x0009__x0009__x0009__x0009_&lt;company display=&quot;Voorzitter Tweede Kamer&quot; name=&quot;De Voorzitter van de Tweede Kamer&quot;&gt;_x000d__x000a__x0009__x0009__x0009__x0009_&lt;/company&gt;_x000d__x000a__x0009__x0009__x0009_&lt;/address&gt;_x000d__x000a__x0009__x0009_&lt;/adres&gt;&lt;kix value=&quot;&quot; formatted-value=&quot;&quot;/&gt;&lt;mailing-aan formatted-value=&quot;&quot;/&gt;&lt;minjuslint formatted-value=&quot;&quot;/&gt;&lt;chklogo value=&quot;0&quot;/&gt;&lt;documentsubtype formatted-value=&quot;Brief&quot;/&gt;&lt;documenttitel formatted-value=&quot;Brief - De legitieme portie in het erfrecht&quot;/&gt;&lt;heropend value=&quot;false&quot;/&gt;&lt;vorm value=&quot;Digitaal&quot;/&gt;&lt;ZaakLocatie/&gt;&lt;zaakkenmerk/&gt;&lt;zaaktitel/&gt;&lt;fn_geaddresseerde formatted-value=&quot;De Voorzitter van de Tweede Kamer&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06-52872553&quot; formatted-value=&quot;06 528 725 53&quot;&gt;&lt;phonenumber country-code=&quot;31&quot; number=&quot;06-52872553&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quot;/&gt;&lt;email formatted-value=&quot;j.m.vink1@minjenv.nl&quot;/&gt;&lt;functie formatted-value=&quot;&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quot;/&gt;&lt;directoraatnaam value=&quot;&quot; formatted-value=&quot;&quot;/&gt;&lt;directoraatnaamvolg formatted-value=&quot;&quot;/&gt;&lt;onderdeel value=&quot;&quot; formatted-value=&quot;&quot;/&gt;&lt;digionderdeel value=&quot;&quot; formatted-value=&quot;&quot;/&gt;&lt;onderdeelvolg formatted-value=&quot;&quot;/&gt;&lt;directieregel formatted-value=&quot; \n&quot;/&gt;&lt;datum value=&quot;2022-05-09T17:52:06&quot; formatted-value=&quot;9 mei 2022&quot;/&gt;&lt;onskenmerk value=&quot;PM&quot; formatted-value=&quot;PM&quot; format-disabled=&quot;true&quot;/&gt;&lt;uwkenmerk formatted-value=&quot;&quot;/&gt;&lt;onderwerp formatted-value=&quot;De legitieme portie in het erfrecht&quot; value=&quot;De legitieme portie in het erfrecht&quot; format-disabled=&quot;true&quot;/&gt;&lt;bijlage formatted-value=&quot;&quot;/&gt;&lt;projectnaam/&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nGeachte heer/mevrouw Staten-Generaal,\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 Staten-Generaal&quot; output-value=&quot;Geachte heer/mevrouw Staten-Generaal,&quot;/&gt;&lt;groetregel value=&quot;2&quot; formatted-value=&quot;Hoogachtend&quot; output-value=&quot;Hoogachtend,&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714A5D"/>
    <w:rsid w:val="00002CF3"/>
    <w:rsid w:val="0000726D"/>
    <w:rsid w:val="000129A4"/>
    <w:rsid w:val="0003789F"/>
    <w:rsid w:val="00046B51"/>
    <w:rsid w:val="000814D3"/>
    <w:rsid w:val="000A4D19"/>
    <w:rsid w:val="000C0AB8"/>
    <w:rsid w:val="000C7AAC"/>
    <w:rsid w:val="000E4FC7"/>
    <w:rsid w:val="000E5518"/>
    <w:rsid w:val="000F1D4F"/>
    <w:rsid w:val="00146B65"/>
    <w:rsid w:val="00155D20"/>
    <w:rsid w:val="00173322"/>
    <w:rsid w:val="00180DCF"/>
    <w:rsid w:val="0019099B"/>
    <w:rsid w:val="00193D07"/>
    <w:rsid w:val="001941E5"/>
    <w:rsid w:val="001B5B02"/>
    <w:rsid w:val="001C2234"/>
    <w:rsid w:val="001C3D47"/>
    <w:rsid w:val="001C457B"/>
    <w:rsid w:val="001D0DAF"/>
    <w:rsid w:val="001D2D0D"/>
    <w:rsid w:val="001D69A7"/>
    <w:rsid w:val="001E0432"/>
    <w:rsid w:val="001F3D13"/>
    <w:rsid w:val="0020486A"/>
    <w:rsid w:val="002169FC"/>
    <w:rsid w:val="002417E0"/>
    <w:rsid w:val="00244577"/>
    <w:rsid w:val="002709F4"/>
    <w:rsid w:val="002938B2"/>
    <w:rsid w:val="00294CBB"/>
    <w:rsid w:val="002A123D"/>
    <w:rsid w:val="002A35DF"/>
    <w:rsid w:val="002D061D"/>
    <w:rsid w:val="002E4FFA"/>
    <w:rsid w:val="00306E68"/>
    <w:rsid w:val="00366D4D"/>
    <w:rsid w:val="003A0FCA"/>
    <w:rsid w:val="003A663D"/>
    <w:rsid w:val="003E1F5D"/>
    <w:rsid w:val="003E3073"/>
    <w:rsid w:val="003F14AC"/>
    <w:rsid w:val="003F2F76"/>
    <w:rsid w:val="0040796D"/>
    <w:rsid w:val="004517CF"/>
    <w:rsid w:val="00464FDE"/>
    <w:rsid w:val="0049306F"/>
    <w:rsid w:val="004A2C11"/>
    <w:rsid w:val="004C65A6"/>
    <w:rsid w:val="004E3567"/>
    <w:rsid w:val="00506BFE"/>
    <w:rsid w:val="0051059D"/>
    <w:rsid w:val="00557F8F"/>
    <w:rsid w:val="00565065"/>
    <w:rsid w:val="00571C05"/>
    <w:rsid w:val="00595820"/>
    <w:rsid w:val="005B35D4"/>
    <w:rsid w:val="005B585C"/>
    <w:rsid w:val="005C1C5D"/>
    <w:rsid w:val="005D3D1B"/>
    <w:rsid w:val="005E7EF8"/>
    <w:rsid w:val="00614772"/>
    <w:rsid w:val="0062646F"/>
    <w:rsid w:val="00627DEE"/>
    <w:rsid w:val="0065211D"/>
    <w:rsid w:val="00652887"/>
    <w:rsid w:val="006647C8"/>
    <w:rsid w:val="00666B4A"/>
    <w:rsid w:val="00687917"/>
    <w:rsid w:val="00690E82"/>
    <w:rsid w:val="00692071"/>
    <w:rsid w:val="006A4B33"/>
    <w:rsid w:val="006D1054"/>
    <w:rsid w:val="006F1F82"/>
    <w:rsid w:val="007065B6"/>
    <w:rsid w:val="00711C71"/>
    <w:rsid w:val="00714A5D"/>
    <w:rsid w:val="00722E95"/>
    <w:rsid w:val="00745A6B"/>
    <w:rsid w:val="007940E7"/>
    <w:rsid w:val="00794445"/>
    <w:rsid w:val="007C7BFC"/>
    <w:rsid w:val="007F1994"/>
    <w:rsid w:val="007F1BE3"/>
    <w:rsid w:val="00804F7B"/>
    <w:rsid w:val="008112D1"/>
    <w:rsid w:val="00824940"/>
    <w:rsid w:val="00824B56"/>
    <w:rsid w:val="008370BC"/>
    <w:rsid w:val="00856377"/>
    <w:rsid w:val="00866D88"/>
    <w:rsid w:val="008728E3"/>
    <w:rsid w:val="0087571E"/>
    <w:rsid w:val="0089073C"/>
    <w:rsid w:val="008A05C5"/>
    <w:rsid w:val="008A7B34"/>
    <w:rsid w:val="008D63D8"/>
    <w:rsid w:val="008D7E0E"/>
    <w:rsid w:val="008E7FD9"/>
    <w:rsid w:val="008F31EE"/>
    <w:rsid w:val="009028A4"/>
    <w:rsid w:val="009146D5"/>
    <w:rsid w:val="009301D4"/>
    <w:rsid w:val="00934006"/>
    <w:rsid w:val="0094150E"/>
    <w:rsid w:val="009510DF"/>
    <w:rsid w:val="0095328C"/>
    <w:rsid w:val="0095689E"/>
    <w:rsid w:val="009676D4"/>
    <w:rsid w:val="009767B6"/>
    <w:rsid w:val="009806A6"/>
    <w:rsid w:val="00987EC7"/>
    <w:rsid w:val="009B09F2"/>
    <w:rsid w:val="009D419C"/>
    <w:rsid w:val="00A201D8"/>
    <w:rsid w:val="00A4249B"/>
    <w:rsid w:val="00A50168"/>
    <w:rsid w:val="00A65307"/>
    <w:rsid w:val="00A705F8"/>
    <w:rsid w:val="00A762C8"/>
    <w:rsid w:val="00A83587"/>
    <w:rsid w:val="00A95EE7"/>
    <w:rsid w:val="00AD2C23"/>
    <w:rsid w:val="00AD4FEE"/>
    <w:rsid w:val="00AF4D82"/>
    <w:rsid w:val="00AF66BD"/>
    <w:rsid w:val="00B0193E"/>
    <w:rsid w:val="00B0251F"/>
    <w:rsid w:val="00B03BC0"/>
    <w:rsid w:val="00B07A5A"/>
    <w:rsid w:val="00B07A94"/>
    <w:rsid w:val="00B2078A"/>
    <w:rsid w:val="00B20F7F"/>
    <w:rsid w:val="00B46A7D"/>
    <w:rsid w:val="00B46C81"/>
    <w:rsid w:val="00B50569"/>
    <w:rsid w:val="00B55193"/>
    <w:rsid w:val="00B75F92"/>
    <w:rsid w:val="00B8032B"/>
    <w:rsid w:val="00B80B12"/>
    <w:rsid w:val="00B86B2A"/>
    <w:rsid w:val="00BA0E95"/>
    <w:rsid w:val="00BB0B0F"/>
    <w:rsid w:val="00BF1580"/>
    <w:rsid w:val="00BF236E"/>
    <w:rsid w:val="00C03B49"/>
    <w:rsid w:val="00C16519"/>
    <w:rsid w:val="00C22108"/>
    <w:rsid w:val="00C52354"/>
    <w:rsid w:val="00C73183"/>
    <w:rsid w:val="00C80910"/>
    <w:rsid w:val="00C81B7A"/>
    <w:rsid w:val="00C86C3E"/>
    <w:rsid w:val="00CA06EF"/>
    <w:rsid w:val="00CB2B95"/>
    <w:rsid w:val="00CC3E4D"/>
    <w:rsid w:val="00CC68B3"/>
    <w:rsid w:val="00CD0A45"/>
    <w:rsid w:val="00CE35C3"/>
    <w:rsid w:val="00CF3CB8"/>
    <w:rsid w:val="00CF6944"/>
    <w:rsid w:val="00CF710A"/>
    <w:rsid w:val="00D2034F"/>
    <w:rsid w:val="00D376EB"/>
    <w:rsid w:val="00D409F7"/>
    <w:rsid w:val="00D80C81"/>
    <w:rsid w:val="00D873DA"/>
    <w:rsid w:val="00D92D20"/>
    <w:rsid w:val="00DA27E5"/>
    <w:rsid w:val="00DC469B"/>
    <w:rsid w:val="00DD09A1"/>
    <w:rsid w:val="00DD1C86"/>
    <w:rsid w:val="00DE647F"/>
    <w:rsid w:val="00E10858"/>
    <w:rsid w:val="00E41409"/>
    <w:rsid w:val="00E46F34"/>
    <w:rsid w:val="00E53667"/>
    <w:rsid w:val="00E70542"/>
    <w:rsid w:val="00E83C98"/>
    <w:rsid w:val="00E9407C"/>
    <w:rsid w:val="00EC62A1"/>
    <w:rsid w:val="00ED1578"/>
    <w:rsid w:val="00EE5BAE"/>
    <w:rsid w:val="00F60DEA"/>
    <w:rsid w:val="00F62004"/>
    <w:rsid w:val="00F67650"/>
    <w:rsid w:val="00F67A86"/>
    <w:rsid w:val="00F713DC"/>
    <w:rsid w:val="00F75106"/>
    <w:rsid w:val="00FB30E2"/>
    <w:rsid w:val="00FE3499"/>
    <w:rsid w:val="00FF0123"/>
    <w:rsid w:val="00FF57DB"/>
    <w:rsid w:val="00FF7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rsid w:val="00B46C81"/>
    <w:rPr>
      <w:sz w:val="16"/>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FootnoteReferenceCharChar1Char"/>
    <w:uiPriority w:val="99"/>
    <w:qFormat/>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semiHidden/>
    <w:unhideWhenUsed/>
    <w:rsid w:val="00BA0E95"/>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BA0E95"/>
    <w:rPr>
      <w:rFonts w:ascii="Segoe UI" w:hAnsi="Segoe UI" w:cs="Segoe UI"/>
      <w:sz w:val="18"/>
      <w:szCs w:val="18"/>
      <w:lang w:val="nl-NL" w:eastAsia="nl-NL"/>
    </w:rPr>
  </w:style>
  <w:style w:type="character" w:styleId="Verwijzingopmerking">
    <w:name w:val="annotation reference"/>
    <w:basedOn w:val="Standaardalinea-lettertype"/>
    <w:semiHidden/>
    <w:unhideWhenUsed/>
    <w:rsid w:val="00E10858"/>
    <w:rPr>
      <w:sz w:val="16"/>
      <w:szCs w:val="16"/>
    </w:rPr>
  </w:style>
  <w:style w:type="paragraph" w:styleId="Tekstopmerking">
    <w:name w:val="annotation text"/>
    <w:basedOn w:val="Standaard"/>
    <w:link w:val="TekstopmerkingChar"/>
    <w:semiHidden/>
    <w:unhideWhenUsed/>
    <w:rsid w:val="00E10858"/>
    <w:pPr>
      <w:spacing w:line="240" w:lineRule="auto"/>
    </w:pPr>
    <w:rPr>
      <w:sz w:val="20"/>
      <w:szCs w:val="20"/>
    </w:rPr>
  </w:style>
  <w:style w:type="character" w:customStyle="1" w:styleId="TekstopmerkingChar">
    <w:name w:val="Tekst opmerking Char"/>
    <w:basedOn w:val="Standaardalinea-lettertype"/>
    <w:link w:val="Tekstopmerking"/>
    <w:semiHidden/>
    <w:rsid w:val="00E1085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10858"/>
    <w:rPr>
      <w:b/>
      <w:bCs/>
    </w:rPr>
  </w:style>
  <w:style w:type="character" w:customStyle="1" w:styleId="OnderwerpvanopmerkingChar">
    <w:name w:val="Onderwerp van opmerking Char"/>
    <w:basedOn w:val="TekstopmerkingChar"/>
    <w:link w:val="Onderwerpvanopmerking"/>
    <w:semiHidden/>
    <w:rsid w:val="00E10858"/>
    <w:rPr>
      <w:rFonts w:ascii="Verdana" w:hAnsi="Verdana"/>
      <w:b/>
      <w:bCs/>
      <w:lang w:val="nl-NL" w:eastAsia="nl-NL"/>
    </w:rPr>
  </w:style>
  <w:style w:type="character" w:styleId="Nadruk">
    <w:name w:val="Emphasis"/>
    <w:basedOn w:val="Standaardalinea-lettertype"/>
    <w:uiPriority w:val="20"/>
    <w:qFormat/>
    <w:rsid w:val="00E83C98"/>
    <w:rPr>
      <w:i/>
      <w:iCs/>
    </w:rPr>
  </w:style>
  <w:style w:type="character" w:customStyle="1" w:styleId="VoetnoottekstChar">
    <w:name w:val="Voetnoottekst Char"/>
    <w:basedOn w:val="Standaardalinea-lettertype"/>
    <w:link w:val="Voetnoottekst"/>
    <w:uiPriority w:val="99"/>
    <w:rsid w:val="00F713DC"/>
    <w:rPr>
      <w:rFonts w:ascii="Verdana" w:hAnsi="Verdana"/>
      <w:sz w:val="16"/>
      <w:lang w:val="nl-NL" w:eastAsia="nl-NL"/>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F713DC"/>
    <w:pPr>
      <w:autoSpaceDE w:val="0"/>
      <w:autoSpaceDN w:val="0"/>
      <w:spacing w:after="160" w:line="240" w:lineRule="exact"/>
      <w:jc w:val="both"/>
    </w:pPr>
    <w:rPr>
      <w:rFonts w:ascii="Times New Roman" w:hAnsi="Times New Roman"/>
      <w:sz w:val="20"/>
      <w:szCs w:val="20"/>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knb.nl/nieuwsberichten/40-procent-nederlanders-voor-onterven-van-kind" TargetMode="External"/><Relationship Id="rId2" Type="http://schemas.openxmlformats.org/officeDocument/2006/relationships/hyperlink" Target="http://www.delegitiemeportie.com" TargetMode="External"/><Relationship Id="rId1" Type="http://schemas.openxmlformats.org/officeDocument/2006/relationships/hyperlink" Target="http://www.legitiemeporti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EAFBBB50AB945BB44E1196323AB1A" ma:contentTypeVersion="8" ma:contentTypeDescription="Een nieuw document maken." ma:contentTypeScope="" ma:versionID="a6f7917d90b62defb9d1c7df821e9ca9">
  <xsd:schema xmlns:xsd="http://www.w3.org/2001/XMLSchema" xmlns:xs="http://www.w3.org/2001/XMLSchema" xmlns:p="http://schemas.microsoft.com/office/2006/metadata/properties" xmlns:ns2="9175ba9e-4632-4d2e-b212-52df2c659a44" targetNamespace="http://schemas.microsoft.com/office/2006/metadata/properties" ma:root="true" ma:fieldsID="5e84465ae1bb9890216846d7338ab4a5" ns2:_="">
    <xsd:import namespace="9175ba9e-4632-4d2e-b212-52df2c659a4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5ba9e-4632-4d2e-b212-52df2c659a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2A37F-F92C-4E62-B2A5-AA33E79AD384}"/>
</file>

<file path=customXml/itemProps2.xml><?xml version="1.0" encoding="utf-8"?>
<ds:datastoreItem xmlns:ds="http://schemas.openxmlformats.org/officeDocument/2006/customXml" ds:itemID="{4774CEC0-D467-4213-B9D2-E028B06D2389}"/>
</file>

<file path=docProps/app.xml><?xml version="1.0" encoding="utf-8"?>
<ap:Properties xmlns:vt="http://schemas.openxmlformats.org/officeDocument/2006/docPropsVTypes" xmlns:ap="http://schemas.openxmlformats.org/officeDocument/2006/extended-properties">
  <ap:Pages>2</ap:Pages>
  <ap:Words>2236</ap:Words>
  <ap:Characters>12300</ap:Characters>
  <ap:DocSecurity>0</ap:DocSecurity>
  <ap:Lines>102</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2022-06-22T09:06:00.0000000Z</dcterms:created>
  <dcterms:modified xsi:type="dcterms:W3CDTF">2022-06-22T09:06:00.0000000Z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De Voorzitter van de Tweede Kamer_x000d_der Staten-Generaal_x000d_Postbus 20018 _x000d_2500 EA  DEN HAAG</vt:lpwstr>
  </property>
  <property fmtid="{D5CDD505-2E9C-101B-9397-08002B2CF9AE}" pid="4" name="datum">
    <vt:lpwstr>9 mei 2022</vt:lpwstr>
  </property>
  <property fmtid="{D5CDD505-2E9C-101B-9397-08002B2CF9AE}" pid="5" name="_datum">
    <vt:lpwstr>Datum</vt:lpwstr>
  </property>
  <property fmtid="{D5CDD505-2E9C-101B-9397-08002B2CF9AE}" pid="6" name="aanhef">
    <vt:lpwstr>Geachte heer/mevrouw Staten-Generaal,</vt:lpwstr>
  </property>
  <property fmtid="{D5CDD505-2E9C-101B-9397-08002B2CF9AE}" pid="7" name="onderwerp">
    <vt:lpwstr>De legitieme portie in het erfrecht</vt:lpwstr>
  </property>
  <property fmtid="{D5CDD505-2E9C-101B-9397-08002B2CF9AE}" pid="8" name="_onderwerp">
    <vt:lpwstr>Onderwerp</vt:lpwstr>
  </property>
  <property fmtid="{D5CDD505-2E9C-101B-9397-08002B2CF9AE}" pid="9" name="onskenmerk">
    <vt:lpwstr>PM</vt:lpwstr>
  </property>
  <property fmtid="{D5CDD505-2E9C-101B-9397-08002B2CF9AE}" pid="10" name="_onskenmerk">
    <vt:lpwstr>Ons kenmerk_x000d_</vt:lpwstr>
  </property>
  <property fmtid="{D5CDD505-2E9C-101B-9397-08002B2CF9AE}" pid="11" name="groetregel">
    <vt:lpwstr>Hoogachtend,</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Directie Wetgeving en Juridische Zaken</vt:lpwstr>
  </property>
  <property fmtid="{D5CDD505-2E9C-101B-9397-08002B2CF9AE}" pid="30" name="functie">
    <vt:lpwstr/>
  </property>
  <property fmtid="{D5CDD505-2E9C-101B-9397-08002B2CF9AE}" pid="31" name="woordmerk">
    <vt:lpwstr/>
  </property>
  <property fmtid="{D5CDD505-2E9C-101B-9397-08002B2CF9AE}" pid="32" name="aanhefdoc">
    <vt:lpwstr>_x000d_Geachte heer/mevrouw Staten-Generaal,_x000d_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MSIP_Label_b2aa6e22-2c82-48c6-bf24-1790f4b9c128_Enabled">
    <vt:lpwstr>true</vt:lpwstr>
  </property>
  <property fmtid="{D5CDD505-2E9C-101B-9397-08002B2CF9AE}" pid="68" name="MSIP_Label_b2aa6e22-2c82-48c6-bf24-1790f4b9c128_SetDate">
    <vt:lpwstr>2022-05-18T07:27:07Z</vt:lpwstr>
  </property>
  <property fmtid="{D5CDD505-2E9C-101B-9397-08002B2CF9AE}" pid="69" name="MSIP_Label_b2aa6e22-2c82-48c6-bf24-1790f4b9c128_Method">
    <vt:lpwstr>Standard</vt:lpwstr>
  </property>
  <property fmtid="{D5CDD505-2E9C-101B-9397-08002B2CF9AE}" pid="70" name="MSIP_Label_b2aa6e22-2c82-48c6-bf24-1790f4b9c128_Name">
    <vt:lpwstr>FIN-DGFZ-Rijksoverheid</vt:lpwstr>
  </property>
  <property fmtid="{D5CDD505-2E9C-101B-9397-08002B2CF9AE}" pid="71" name="MSIP_Label_b2aa6e22-2c82-48c6-bf24-1790f4b9c128_SiteId">
    <vt:lpwstr>84712536-f524-40a0-913b-5d25ba502732</vt:lpwstr>
  </property>
  <property fmtid="{D5CDD505-2E9C-101B-9397-08002B2CF9AE}" pid="72" name="MSIP_Label_b2aa6e22-2c82-48c6-bf24-1790f4b9c128_ActionId">
    <vt:lpwstr>96ba208f-f279-4513-aa19-22d9fe814402</vt:lpwstr>
  </property>
  <property fmtid="{D5CDD505-2E9C-101B-9397-08002B2CF9AE}" pid="73" name="MSIP_Label_b2aa6e22-2c82-48c6-bf24-1790f4b9c128_ContentBits">
    <vt:lpwstr>0</vt:lpwstr>
  </property>
</Properties>
</file>